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6ED6C" w14:textId="034DF30B" w:rsidR="006411D7" w:rsidRPr="00E2349F" w:rsidRDefault="006411D7" w:rsidP="00E2349F">
      <w:pPr>
        <w:pStyle w:val="Title"/>
      </w:pPr>
      <w:r w:rsidRPr="00AB5C4E">
        <w:t>Overview Report of Program Assessment Reporting Academic Year 2017-18</w:t>
      </w:r>
    </w:p>
    <w:p w14:paraId="707F3554" w14:textId="71D2EE6D" w:rsidR="006411D7" w:rsidRPr="00AB5C4E" w:rsidRDefault="000558A4" w:rsidP="006F246E">
      <w:pPr>
        <w:pStyle w:val="Heading1"/>
      </w:pPr>
      <w:r>
        <w:t xml:space="preserve">Overview of </w:t>
      </w:r>
      <w:r w:rsidR="0023567C">
        <w:t xml:space="preserve">Current </w:t>
      </w:r>
      <w:r w:rsidR="006411D7" w:rsidRPr="00AB5C4E">
        <w:t>Practice</w:t>
      </w:r>
    </w:p>
    <w:p w14:paraId="5B2DC356" w14:textId="77777777" w:rsidR="007919F5" w:rsidRPr="00AB5C4E" w:rsidRDefault="007919F5">
      <w:pPr>
        <w:rPr>
          <w:rFonts w:cstheme="minorHAnsi"/>
          <w:color w:val="000000" w:themeColor="text1"/>
          <w:sz w:val="22"/>
          <w:szCs w:val="22"/>
        </w:rPr>
      </w:pPr>
    </w:p>
    <w:p w14:paraId="08B1AC93" w14:textId="4483A58D" w:rsidR="00D0520C" w:rsidRPr="00AB5C4E" w:rsidRDefault="00B239EF" w:rsidP="00682130">
      <w:pPr>
        <w:rPr>
          <w:rFonts w:cstheme="minorHAnsi"/>
          <w:color w:val="000000" w:themeColor="text1"/>
          <w:sz w:val="22"/>
          <w:szCs w:val="22"/>
        </w:rPr>
      </w:pPr>
      <w:r w:rsidRPr="00AB5C4E">
        <w:rPr>
          <w:rFonts w:cstheme="minorHAnsi"/>
          <w:color w:val="000000" w:themeColor="text1"/>
          <w:sz w:val="22"/>
          <w:szCs w:val="22"/>
        </w:rPr>
        <w:t>Western Oregon University defines programs to include majors, minors and certificates at the graduate and undergraduate level</w:t>
      </w:r>
      <w:r w:rsidR="008B0EBD">
        <w:rPr>
          <w:rFonts w:cstheme="minorHAnsi"/>
          <w:color w:val="000000" w:themeColor="text1"/>
          <w:sz w:val="22"/>
          <w:szCs w:val="22"/>
        </w:rPr>
        <w:t>;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general education</w:t>
      </w:r>
      <w:r w:rsidR="008B0EBD">
        <w:rPr>
          <w:rFonts w:cstheme="minorHAnsi"/>
          <w:color w:val="000000" w:themeColor="text1"/>
          <w:sz w:val="22"/>
          <w:szCs w:val="22"/>
        </w:rPr>
        <w:t>;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and </w:t>
      </w:r>
      <w:r w:rsidR="00560890" w:rsidRPr="00AB5C4E">
        <w:rPr>
          <w:rFonts w:cstheme="minorHAnsi"/>
          <w:color w:val="000000" w:themeColor="text1"/>
          <w:sz w:val="22"/>
          <w:szCs w:val="22"/>
        </w:rPr>
        <w:t xml:space="preserve">co-curricular and academic support services in Academic Affairs. </w:t>
      </w:r>
      <w:r w:rsidR="00682130" w:rsidRPr="00AB5C4E">
        <w:rPr>
          <w:rFonts w:cstheme="minorHAnsi"/>
          <w:color w:val="000000" w:themeColor="text1"/>
          <w:sz w:val="22"/>
          <w:szCs w:val="22"/>
        </w:rPr>
        <w:t>The basic assessment strategy established in 2015-16 is for all programs to</w:t>
      </w:r>
      <w:r w:rsidR="00D0520C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682130" w:rsidRPr="00AB5C4E">
        <w:rPr>
          <w:rFonts w:cstheme="minorHAnsi"/>
          <w:color w:val="000000" w:themeColor="text1"/>
          <w:sz w:val="22"/>
          <w:szCs w:val="22"/>
        </w:rPr>
        <w:t>d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>etermin</w:t>
      </w:r>
      <w:r w:rsidR="008B0EBD">
        <w:rPr>
          <w:rFonts w:eastAsia="Times New Roman" w:cstheme="minorHAnsi"/>
          <w:color w:val="000000" w:themeColor="text1"/>
          <w:sz w:val="22"/>
          <w:szCs w:val="22"/>
        </w:rPr>
        <w:t>e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their 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>Program Learning Outcomes (PLO)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and to a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lign at least one 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>PLO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to an Undergraduate Learning Outcome (ULO) or Graduate Learning Outcome (GLO). 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>Programs also e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>nsur</w:t>
      </w:r>
      <w:r w:rsidR="008B0EBD">
        <w:rPr>
          <w:rFonts w:eastAsia="Times New Roman" w:cstheme="minorHAnsi"/>
          <w:color w:val="000000" w:themeColor="text1"/>
          <w:sz w:val="22"/>
          <w:szCs w:val="22"/>
        </w:rPr>
        <w:t>e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that 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>their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courses align to at least one PLO or ULO/GLO and </w:t>
      </w:r>
      <w:r w:rsidR="008B0EBD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clearly 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identify on all course syllabi </w:t>
      </w:r>
      <w:r w:rsidR="008B0EBD">
        <w:rPr>
          <w:rFonts w:eastAsia="Times New Roman" w:cstheme="minorHAnsi"/>
          <w:color w:val="000000" w:themeColor="text1"/>
          <w:sz w:val="22"/>
          <w:szCs w:val="22"/>
        </w:rPr>
        <w:t>the</w:t>
      </w:r>
      <w:r w:rsidR="008B0EBD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>PLOs and ULOs featured in that course.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For program assessment reporting, each program is responsible for </w:t>
      </w:r>
      <w:r w:rsidR="008B0EBD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annually 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>s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>electing at least one PLO to focus</w:t>
      </w:r>
      <w:r w:rsidR="008B0EBD">
        <w:rPr>
          <w:rFonts w:eastAsia="Times New Roman" w:cstheme="minorHAnsi"/>
          <w:color w:val="000000" w:themeColor="text1"/>
          <w:sz w:val="22"/>
          <w:szCs w:val="22"/>
        </w:rPr>
        <w:t xml:space="preserve"> on,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using the instruments, assignments and strategies that the program determines to be appropriate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. 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>Engaging in conversation with all members of the program based upon the assessment information</w:t>
      </w:r>
      <w:r w:rsidR="008B0EBD">
        <w:rPr>
          <w:rFonts w:eastAsia="Times New Roman" w:cstheme="minorHAnsi"/>
          <w:color w:val="000000" w:themeColor="text1"/>
          <w:sz w:val="22"/>
          <w:szCs w:val="22"/>
        </w:rPr>
        <w:t>,</w:t>
      </w:r>
      <w:r w:rsidR="00D0520C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 and reporting on those 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conversations, including </w:t>
      </w:r>
      <w:r w:rsidR="008B0EBD">
        <w:rPr>
          <w:rFonts w:eastAsia="Times New Roman" w:cstheme="minorHAnsi"/>
          <w:color w:val="000000" w:themeColor="text1"/>
          <w:sz w:val="22"/>
          <w:szCs w:val="22"/>
        </w:rPr>
        <w:t xml:space="preserve">any </w:t>
      </w:r>
      <w:r w:rsidR="00682130" w:rsidRPr="00AB5C4E">
        <w:rPr>
          <w:rFonts w:eastAsia="Times New Roman" w:cstheme="minorHAnsi"/>
          <w:color w:val="000000" w:themeColor="text1"/>
          <w:sz w:val="22"/>
          <w:szCs w:val="22"/>
        </w:rPr>
        <w:t xml:space="preserve">curricular decision making, is an important element of the strategy. </w:t>
      </w:r>
    </w:p>
    <w:p w14:paraId="60C1A81C" w14:textId="77777777" w:rsidR="00B239EF" w:rsidRPr="00AB5C4E" w:rsidRDefault="006411D7" w:rsidP="006F246E">
      <w:pPr>
        <w:pStyle w:val="Heading1"/>
      </w:pPr>
      <w:r w:rsidRPr="00AB5C4E">
        <w:t>Overview of Results</w:t>
      </w:r>
    </w:p>
    <w:p w14:paraId="34716536" w14:textId="4F407EE3" w:rsidR="00275A9C" w:rsidRPr="00AB5C4E" w:rsidRDefault="00275A9C">
      <w:pPr>
        <w:rPr>
          <w:rFonts w:cstheme="minorHAnsi"/>
          <w:color w:val="000000" w:themeColor="text1"/>
          <w:sz w:val="22"/>
          <w:szCs w:val="22"/>
        </w:rPr>
      </w:pPr>
    </w:p>
    <w:p w14:paraId="63A5FAD0" w14:textId="7EC8762D" w:rsidR="006F246E" w:rsidRDefault="006F246E" w:rsidP="006F246E">
      <w:pPr>
        <w:pStyle w:val="Heading2"/>
      </w:pPr>
      <w:r>
        <w:t>Reporting Trends</w:t>
      </w:r>
    </w:p>
    <w:p w14:paraId="005B1BCF" w14:textId="5C45FF91" w:rsidR="00B239EF" w:rsidRPr="00AB5C4E" w:rsidRDefault="008B0EBD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For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D4585C" w:rsidRPr="00AB5C4E">
        <w:rPr>
          <w:rFonts w:cstheme="minorHAnsi"/>
          <w:color w:val="000000" w:themeColor="text1"/>
          <w:sz w:val="22"/>
          <w:szCs w:val="22"/>
        </w:rPr>
        <w:t>the 2017-18 academic year,</w:t>
      </w:r>
      <w:r w:rsidR="006B0427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>Tk20</w:t>
      </w:r>
      <w:r w:rsidR="006B0427">
        <w:rPr>
          <w:rFonts w:cstheme="minorHAnsi"/>
          <w:color w:val="000000" w:themeColor="text1"/>
          <w:sz w:val="22"/>
          <w:szCs w:val="22"/>
        </w:rPr>
        <w:t xml:space="preserve"> had 57 programs identified as available for </w:t>
      </w:r>
      <w:r w:rsidR="0009252C">
        <w:rPr>
          <w:rFonts w:cstheme="minorHAnsi"/>
          <w:color w:val="000000" w:themeColor="text1"/>
          <w:sz w:val="22"/>
          <w:szCs w:val="22"/>
        </w:rPr>
        <w:t xml:space="preserve">assessment </w:t>
      </w:r>
      <w:r w:rsidR="006B0427">
        <w:rPr>
          <w:rFonts w:cstheme="minorHAnsi"/>
          <w:color w:val="000000" w:themeColor="text1"/>
          <w:sz w:val="22"/>
          <w:szCs w:val="22"/>
        </w:rPr>
        <w:t>reporting.</w:t>
      </w:r>
      <w:r>
        <w:rPr>
          <w:rStyle w:val="FootnoteReference"/>
          <w:rFonts w:cstheme="minorHAnsi"/>
          <w:color w:val="000000" w:themeColor="text1"/>
          <w:sz w:val="22"/>
          <w:szCs w:val="22"/>
        </w:rPr>
        <w:footnoteReference w:id="1"/>
      </w:r>
      <w:r w:rsidR="00D4585C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B70D93">
        <w:rPr>
          <w:rFonts w:cstheme="minorHAnsi"/>
          <w:color w:val="000000" w:themeColor="text1"/>
          <w:sz w:val="22"/>
          <w:szCs w:val="22"/>
        </w:rPr>
        <w:t>A summary of the reporting</w:t>
      </w:r>
      <w:r w:rsidR="00F92DC7">
        <w:rPr>
          <w:rFonts w:cstheme="minorHAnsi"/>
          <w:color w:val="000000" w:themeColor="text1"/>
          <w:sz w:val="22"/>
          <w:szCs w:val="22"/>
        </w:rPr>
        <w:t xml:space="preserve"> status</w:t>
      </w:r>
      <w:r w:rsidR="00B70D93">
        <w:rPr>
          <w:rFonts w:cstheme="minorHAnsi"/>
          <w:color w:val="000000" w:themeColor="text1"/>
          <w:sz w:val="22"/>
          <w:szCs w:val="22"/>
        </w:rPr>
        <w:t xml:space="preserve"> is provided in Table 1. </w:t>
      </w:r>
      <w:r w:rsidR="00F92DC7">
        <w:rPr>
          <w:rFonts w:cstheme="minorHAnsi"/>
          <w:color w:val="000000" w:themeColor="text1"/>
          <w:sz w:val="22"/>
          <w:szCs w:val="22"/>
        </w:rPr>
        <w:t>Forty-five</w:t>
      </w:r>
      <w:r w:rsidR="00F92DC7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D4585C" w:rsidRPr="00AB5C4E">
        <w:rPr>
          <w:rFonts w:cstheme="minorHAnsi"/>
          <w:color w:val="000000" w:themeColor="text1"/>
          <w:sz w:val="22"/>
          <w:szCs w:val="22"/>
        </w:rPr>
        <w:t>programs</w:t>
      </w:r>
      <w:r w:rsidR="00E53FC4">
        <w:rPr>
          <w:rFonts w:cstheme="minorHAnsi"/>
          <w:color w:val="000000" w:themeColor="text1"/>
          <w:sz w:val="22"/>
          <w:szCs w:val="22"/>
        </w:rPr>
        <w:t xml:space="preserve"> (</w:t>
      </w:r>
      <w:r w:rsidR="00124CDD">
        <w:rPr>
          <w:rFonts w:cstheme="minorHAnsi"/>
          <w:color w:val="000000" w:themeColor="text1"/>
          <w:sz w:val="22"/>
          <w:szCs w:val="22"/>
        </w:rPr>
        <w:t>3</w:t>
      </w:r>
      <w:r w:rsidR="003F2199">
        <w:rPr>
          <w:rFonts w:cstheme="minorHAnsi"/>
          <w:color w:val="000000" w:themeColor="text1"/>
          <w:sz w:val="22"/>
          <w:szCs w:val="22"/>
        </w:rPr>
        <w:t>5</w:t>
      </w:r>
      <w:r w:rsidR="00124CDD">
        <w:rPr>
          <w:rFonts w:cstheme="minorHAnsi"/>
          <w:color w:val="000000" w:themeColor="text1"/>
          <w:sz w:val="22"/>
          <w:szCs w:val="22"/>
        </w:rPr>
        <w:t xml:space="preserve"> undergraduate programs, </w:t>
      </w:r>
      <w:r w:rsidR="00F070E7">
        <w:rPr>
          <w:rFonts w:cstheme="minorHAnsi"/>
          <w:color w:val="000000" w:themeColor="text1"/>
          <w:sz w:val="22"/>
          <w:szCs w:val="22"/>
        </w:rPr>
        <w:t>5</w:t>
      </w:r>
      <w:r w:rsidR="00124CDD">
        <w:rPr>
          <w:rFonts w:cstheme="minorHAnsi"/>
          <w:color w:val="000000" w:themeColor="text1"/>
          <w:sz w:val="22"/>
          <w:szCs w:val="22"/>
        </w:rPr>
        <w:t xml:space="preserve"> graduate certificates, </w:t>
      </w:r>
      <w:r w:rsidR="00051C19">
        <w:rPr>
          <w:rFonts w:cstheme="minorHAnsi"/>
          <w:color w:val="000000" w:themeColor="text1"/>
          <w:sz w:val="22"/>
          <w:szCs w:val="22"/>
        </w:rPr>
        <w:t>7</w:t>
      </w:r>
      <w:r w:rsidR="00E53FC4">
        <w:rPr>
          <w:rFonts w:cstheme="minorHAnsi"/>
          <w:color w:val="000000" w:themeColor="text1"/>
          <w:sz w:val="22"/>
          <w:szCs w:val="22"/>
        </w:rPr>
        <w:t xml:space="preserve"> graduate</w:t>
      </w:r>
      <w:r w:rsidR="00124CDD">
        <w:rPr>
          <w:rFonts w:cstheme="minorHAnsi"/>
          <w:color w:val="000000" w:themeColor="text1"/>
          <w:sz w:val="22"/>
          <w:szCs w:val="22"/>
        </w:rPr>
        <w:t xml:space="preserve"> programs</w:t>
      </w:r>
      <w:r w:rsidR="00E53FC4">
        <w:rPr>
          <w:rFonts w:cstheme="minorHAnsi"/>
          <w:color w:val="000000" w:themeColor="text1"/>
          <w:sz w:val="22"/>
          <w:szCs w:val="22"/>
        </w:rPr>
        <w:t>)</w:t>
      </w:r>
      <w:r w:rsidR="00D4585C" w:rsidRPr="00AB5C4E">
        <w:rPr>
          <w:rFonts w:cstheme="minorHAnsi"/>
          <w:color w:val="000000" w:themeColor="text1"/>
          <w:sz w:val="22"/>
          <w:szCs w:val="22"/>
        </w:rPr>
        <w:t xml:space="preserve"> filed assessment reports by December 15, 2019. </w:t>
      </w:r>
      <w:r w:rsidR="00486814">
        <w:rPr>
          <w:rFonts w:cstheme="minorHAnsi"/>
          <w:color w:val="000000" w:themeColor="text1"/>
          <w:sz w:val="22"/>
          <w:szCs w:val="22"/>
        </w:rPr>
        <w:t>T</w:t>
      </w:r>
      <w:r w:rsidR="000D49F0">
        <w:rPr>
          <w:rFonts w:cstheme="minorHAnsi"/>
          <w:color w:val="000000" w:themeColor="text1"/>
          <w:sz w:val="22"/>
          <w:szCs w:val="22"/>
        </w:rPr>
        <w:t>wo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E53FC4">
        <w:rPr>
          <w:rFonts w:cstheme="minorHAnsi"/>
          <w:color w:val="000000" w:themeColor="text1"/>
          <w:sz w:val="22"/>
          <w:szCs w:val="22"/>
        </w:rPr>
        <w:t xml:space="preserve">undergraduate </w:t>
      </w:r>
      <w:r w:rsidR="004E63B4" w:rsidRPr="00AB5C4E">
        <w:rPr>
          <w:rFonts w:cstheme="minorHAnsi"/>
          <w:color w:val="000000" w:themeColor="text1"/>
          <w:sz w:val="22"/>
          <w:szCs w:val="22"/>
        </w:rPr>
        <w:t>programs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notified the </w:t>
      </w:r>
      <w:r w:rsidR="00F92DC7">
        <w:rPr>
          <w:rFonts w:cstheme="minorHAnsi"/>
          <w:color w:val="000000" w:themeColor="text1"/>
          <w:sz w:val="22"/>
          <w:szCs w:val="22"/>
        </w:rPr>
        <w:t>O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ffice of Academic Effectiveness that they were unable to collect data or complete reports for the year. </w:t>
      </w:r>
      <w:r w:rsidR="003F2199">
        <w:rPr>
          <w:rFonts w:cstheme="minorHAnsi"/>
          <w:color w:val="000000" w:themeColor="text1"/>
          <w:sz w:val="22"/>
          <w:szCs w:val="22"/>
        </w:rPr>
        <w:t>One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221447">
        <w:rPr>
          <w:rFonts w:cstheme="minorHAnsi"/>
          <w:color w:val="000000" w:themeColor="text1"/>
          <w:sz w:val="22"/>
          <w:szCs w:val="22"/>
        </w:rPr>
        <w:t xml:space="preserve">undergraduate </w:t>
      </w:r>
      <w:r w:rsidR="004E63B4" w:rsidRPr="00AB5C4E">
        <w:rPr>
          <w:rFonts w:cstheme="minorHAnsi"/>
          <w:color w:val="000000" w:themeColor="text1"/>
          <w:sz w:val="22"/>
          <w:szCs w:val="22"/>
        </w:rPr>
        <w:t>program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requested an extension and </w:t>
      </w:r>
      <w:r w:rsidR="00FB3061" w:rsidRPr="00AB5C4E">
        <w:rPr>
          <w:rFonts w:cstheme="minorHAnsi"/>
          <w:color w:val="000000" w:themeColor="text1"/>
          <w:sz w:val="22"/>
          <w:szCs w:val="22"/>
        </w:rPr>
        <w:t>one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 program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identified that they were engaged in program review and were </w:t>
      </w:r>
      <w:r w:rsidR="00FB3061" w:rsidRPr="00AB5C4E">
        <w:rPr>
          <w:rFonts w:cstheme="minorHAnsi"/>
          <w:color w:val="000000" w:themeColor="text1"/>
          <w:sz w:val="22"/>
          <w:szCs w:val="22"/>
        </w:rPr>
        <w:t>postponing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 their report</w:t>
      </w:r>
      <w:r w:rsidR="00FB3061" w:rsidRPr="00AB5C4E">
        <w:rPr>
          <w:rFonts w:cstheme="minorHAnsi"/>
          <w:color w:val="000000" w:themeColor="text1"/>
          <w:sz w:val="22"/>
          <w:szCs w:val="22"/>
        </w:rPr>
        <w:t xml:space="preserve"> to the completion of</w:t>
      </w:r>
      <w:r w:rsidR="00F92DC7">
        <w:rPr>
          <w:rFonts w:cstheme="minorHAnsi"/>
          <w:color w:val="000000" w:themeColor="text1"/>
          <w:sz w:val="22"/>
          <w:szCs w:val="22"/>
        </w:rPr>
        <w:t xml:space="preserve"> that</w:t>
      </w:r>
      <w:r w:rsidR="00FB3061" w:rsidRPr="00AB5C4E">
        <w:rPr>
          <w:rFonts w:cstheme="minorHAnsi"/>
          <w:color w:val="000000" w:themeColor="text1"/>
          <w:sz w:val="22"/>
          <w:szCs w:val="22"/>
        </w:rPr>
        <w:t xml:space="preserve"> review</w:t>
      </w:r>
      <w:r w:rsidR="004E63B4" w:rsidRPr="00AB5C4E">
        <w:rPr>
          <w:rFonts w:cstheme="minorHAnsi"/>
          <w:color w:val="000000" w:themeColor="text1"/>
          <w:sz w:val="22"/>
          <w:szCs w:val="22"/>
        </w:rPr>
        <w:t xml:space="preserve">. </w:t>
      </w:r>
      <w:r w:rsidR="00AB5E48">
        <w:rPr>
          <w:rFonts w:cstheme="minorHAnsi"/>
          <w:color w:val="000000" w:themeColor="text1"/>
          <w:sz w:val="22"/>
          <w:szCs w:val="22"/>
        </w:rPr>
        <w:t>One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124CDD">
        <w:rPr>
          <w:rFonts w:cstheme="minorHAnsi"/>
          <w:color w:val="000000" w:themeColor="text1"/>
          <w:sz w:val="22"/>
          <w:szCs w:val="22"/>
        </w:rPr>
        <w:t xml:space="preserve">graduate certificate 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program did not file </w:t>
      </w:r>
      <w:r w:rsidR="00AB5E48">
        <w:rPr>
          <w:rFonts w:cstheme="minorHAnsi"/>
          <w:color w:val="000000" w:themeColor="text1"/>
          <w:sz w:val="22"/>
          <w:szCs w:val="22"/>
        </w:rPr>
        <w:t xml:space="preserve">a 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report. </w:t>
      </w:r>
      <w:r w:rsidR="00850E11">
        <w:rPr>
          <w:rFonts w:cstheme="minorHAnsi"/>
          <w:color w:val="000000" w:themeColor="text1"/>
          <w:sz w:val="22"/>
          <w:szCs w:val="22"/>
        </w:rPr>
        <w:t>One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124CDD">
        <w:rPr>
          <w:rFonts w:cstheme="minorHAnsi"/>
          <w:color w:val="000000" w:themeColor="text1"/>
          <w:sz w:val="22"/>
          <w:szCs w:val="22"/>
        </w:rPr>
        <w:t xml:space="preserve">graduate 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program </w:t>
      </w:r>
      <w:r w:rsidR="00F92DC7">
        <w:rPr>
          <w:rFonts w:cstheme="minorHAnsi"/>
          <w:color w:val="000000" w:themeColor="text1"/>
          <w:sz w:val="22"/>
          <w:szCs w:val="22"/>
        </w:rPr>
        <w:t>had</w:t>
      </w:r>
      <w:r w:rsidR="00F92DC7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just launched </w:t>
      </w:r>
      <w:r w:rsidR="00F92DC7">
        <w:rPr>
          <w:rFonts w:cstheme="minorHAnsi"/>
          <w:color w:val="000000" w:themeColor="text1"/>
          <w:sz w:val="22"/>
          <w:szCs w:val="22"/>
        </w:rPr>
        <w:t xml:space="preserve">so </w:t>
      </w:r>
      <w:r w:rsidR="00BA7039" w:rsidRPr="00AB5C4E">
        <w:rPr>
          <w:rFonts w:cstheme="minorHAnsi"/>
          <w:color w:val="000000" w:themeColor="text1"/>
          <w:sz w:val="22"/>
          <w:szCs w:val="22"/>
        </w:rPr>
        <w:t>did not</w:t>
      </w:r>
      <w:r w:rsidR="00D34657">
        <w:rPr>
          <w:rFonts w:cstheme="minorHAnsi"/>
          <w:color w:val="000000" w:themeColor="text1"/>
          <w:sz w:val="22"/>
          <w:szCs w:val="22"/>
        </w:rPr>
        <w:t xml:space="preserve"> yet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 have activities on which to report. Division Chairs identified four programs in </w:t>
      </w:r>
      <w:r>
        <w:rPr>
          <w:rFonts w:cstheme="minorHAnsi"/>
          <w:color w:val="000000" w:themeColor="text1"/>
          <w:sz w:val="22"/>
          <w:szCs w:val="22"/>
        </w:rPr>
        <w:t>Tk20</w:t>
      </w:r>
      <w:r w:rsidR="00BA7039" w:rsidRPr="00AB5C4E">
        <w:rPr>
          <w:rFonts w:cstheme="minorHAnsi"/>
          <w:color w:val="000000" w:themeColor="text1"/>
          <w:sz w:val="22"/>
          <w:szCs w:val="22"/>
        </w:rPr>
        <w:t xml:space="preserve"> that should have been consolidated with other programs in the system</w:t>
      </w:r>
      <w:r w:rsidR="00850E11">
        <w:rPr>
          <w:rFonts w:cstheme="minorHAnsi"/>
          <w:color w:val="000000" w:themeColor="text1"/>
          <w:sz w:val="22"/>
          <w:szCs w:val="22"/>
        </w:rPr>
        <w:t xml:space="preserve"> and one program that needed to be added to the system. </w:t>
      </w:r>
      <w:r w:rsidR="00F42292">
        <w:rPr>
          <w:rFonts w:cstheme="minorHAnsi"/>
          <w:color w:val="000000" w:themeColor="text1"/>
          <w:sz w:val="22"/>
          <w:szCs w:val="22"/>
        </w:rPr>
        <w:t xml:space="preserve">One </w:t>
      </w:r>
      <w:r w:rsidR="00A535BA">
        <w:rPr>
          <w:rFonts w:cstheme="minorHAnsi"/>
          <w:color w:val="000000" w:themeColor="text1"/>
          <w:sz w:val="22"/>
          <w:szCs w:val="22"/>
        </w:rPr>
        <w:t>group</w:t>
      </w:r>
      <w:r w:rsidR="007D4A69">
        <w:rPr>
          <w:rFonts w:cstheme="minorHAnsi"/>
          <w:color w:val="000000" w:themeColor="text1"/>
          <w:sz w:val="22"/>
          <w:szCs w:val="22"/>
        </w:rPr>
        <w:t xml:space="preserve"> filed a single report for </w:t>
      </w:r>
      <w:r w:rsidR="00F42292">
        <w:rPr>
          <w:rFonts w:cstheme="minorHAnsi"/>
          <w:color w:val="000000" w:themeColor="text1"/>
          <w:sz w:val="22"/>
          <w:szCs w:val="22"/>
        </w:rPr>
        <w:t>three separate</w:t>
      </w:r>
      <w:r w:rsidR="007D4A69">
        <w:rPr>
          <w:rFonts w:cstheme="minorHAnsi"/>
          <w:color w:val="000000" w:themeColor="text1"/>
          <w:sz w:val="22"/>
          <w:szCs w:val="22"/>
        </w:rPr>
        <w:t xml:space="preserve"> </w:t>
      </w:r>
      <w:r w:rsidR="00A535BA">
        <w:rPr>
          <w:rFonts w:cstheme="minorHAnsi"/>
          <w:color w:val="000000" w:themeColor="text1"/>
          <w:sz w:val="22"/>
          <w:szCs w:val="22"/>
        </w:rPr>
        <w:t>programs</w:t>
      </w:r>
      <w:r w:rsidR="007D4A69">
        <w:rPr>
          <w:rFonts w:cstheme="minorHAnsi"/>
          <w:color w:val="000000" w:themeColor="text1"/>
          <w:sz w:val="22"/>
          <w:szCs w:val="22"/>
        </w:rPr>
        <w:t>, treating those as a single program</w:t>
      </w:r>
      <w:r w:rsidR="005C513C">
        <w:rPr>
          <w:rFonts w:cstheme="minorHAnsi"/>
          <w:color w:val="000000" w:themeColor="text1"/>
          <w:sz w:val="22"/>
          <w:szCs w:val="22"/>
        </w:rPr>
        <w:t>,</w:t>
      </w:r>
      <w:r w:rsidR="007D4A69">
        <w:rPr>
          <w:rFonts w:cstheme="minorHAnsi"/>
          <w:color w:val="000000" w:themeColor="text1"/>
          <w:sz w:val="22"/>
          <w:szCs w:val="22"/>
        </w:rPr>
        <w:t xml:space="preserve"> </w:t>
      </w:r>
      <w:r w:rsidR="005C513C">
        <w:rPr>
          <w:rFonts w:cstheme="minorHAnsi"/>
          <w:color w:val="000000" w:themeColor="text1"/>
          <w:sz w:val="22"/>
          <w:szCs w:val="22"/>
        </w:rPr>
        <w:t>even though th</w:t>
      </w:r>
      <w:r w:rsidR="00A535BA">
        <w:rPr>
          <w:rFonts w:cstheme="minorHAnsi"/>
          <w:color w:val="000000" w:themeColor="text1"/>
          <w:sz w:val="22"/>
          <w:szCs w:val="22"/>
        </w:rPr>
        <w:t xml:space="preserve">e three </w:t>
      </w:r>
      <w:r w:rsidR="005C513C">
        <w:rPr>
          <w:rFonts w:cstheme="minorHAnsi"/>
          <w:color w:val="000000" w:themeColor="text1"/>
          <w:sz w:val="22"/>
          <w:szCs w:val="22"/>
        </w:rPr>
        <w:t xml:space="preserve">have </w:t>
      </w:r>
      <w:r w:rsidR="00A535BA">
        <w:rPr>
          <w:rFonts w:cstheme="minorHAnsi"/>
          <w:color w:val="000000" w:themeColor="text1"/>
          <w:sz w:val="22"/>
          <w:szCs w:val="22"/>
        </w:rPr>
        <w:t xml:space="preserve">some </w:t>
      </w:r>
      <w:r w:rsidR="005C513C">
        <w:rPr>
          <w:rFonts w:cstheme="minorHAnsi"/>
          <w:color w:val="000000" w:themeColor="text1"/>
          <w:sz w:val="22"/>
          <w:szCs w:val="22"/>
        </w:rPr>
        <w:t>different learning outcomes</w:t>
      </w:r>
      <w:r w:rsidR="007D4A69">
        <w:rPr>
          <w:rFonts w:cstheme="minorHAnsi"/>
          <w:color w:val="000000" w:themeColor="text1"/>
          <w:sz w:val="22"/>
          <w:szCs w:val="22"/>
        </w:rPr>
        <w:t xml:space="preserve">. </w:t>
      </w:r>
      <w:r w:rsidR="00F42292">
        <w:rPr>
          <w:rFonts w:cstheme="minorHAnsi"/>
          <w:color w:val="000000" w:themeColor="text1"/>
          <w:sz w:val="22"/>
          <w:szCs w:val="22"/>
        </w:rPr>
        <w:t>As the</w:t>
      </w:r>
      <w:r w:rsidR="005C513C">
        <w:rPr>
          <w:rFonts w:cstheme="minorHAnsi"/>
          <w:color w:val="000000" w:themeColor="text1"/>
          <w:sz w:val="22"/>
          <w:szCs w:val="22"/>
        </w:rPr>
        <w:t xml:space="preserve"> assessment report primarily focused on a learning outcome common to the </w:t>
      </w:r>
      <w:r w:rsidR="00A535BA">
        <w:rPr>
          <w:rFonts w:cstheme="minorHAnsi"/>
          <w:color w:val="000000" w:themeColor="text1"/>
          <w:sz w:val="22"/>
          <w:szCs w:val="22"/>
        </w:rPr>
        <w:t>programs</w:t>
      </w:r>
      <w:r w:rsidR="005C513C">
        <w:rPr>
          <w:rFonts w:cstheme="minorHAnsi"/>
          <w:color w:val="000000" w:themeColor="text1"/>
          <w:sz w:val="22"/>
          <w:szCs w:val="22"/>
        </w:rPr>
        <w:t xml:space="preserve"> and follow</w:t>
      </w:r>
      <w:r w:rsidR="00F42292">
        <w:rPr>
          <w:rFonts w:cstheme="minorHAnsi"/>
          <w:color w:val="000000" w:themeColor="text1"/>
          <w:sz w:val="22"/>
          <w:szCs w:val="22"/>
        </w:rPr>
        <w:t>ed the review year for th</w:t>
      </w:r>
      <w:r w:rsidR="00A535BA">
        <w:rPr>
          <w:rFonts w:cstheme="minorHAnsi"/>
          <w:color w:val="000000" w:themeColor="text1"/>
          <w:sz w:val="22"/>
          <w:szCs w:val="22"/>
        </w:rPr>
        <w:t>ose programs</w:t>
      </w:r>
      <w:r w:rsidR="00B93FB7">
        <w:rPr>
          <w:rFonts w:cstheme="minorHAnsi"/>
          <w:color w:val="000000" w:themeColor="text1"/>
          <w:sz w:val="22"/>
          <w:szCs w:val="22"/>
        </w:rPr>
        <w:t>, this</w:t>
      </w:r>
      <w:r w:rsidR="00F42292">
        <w:rPr>
          <w:rFonts w:cstheme="minorHAnsi"/>
          <w:color w:val="000000" w:themeColor="text1"/>
          <w:sz w:val="22"/>
          <w:szCs w:val="22"/>
        </w:rPr>
        <w:t xml:space="preserve"> consolidation</w:t>
      </w:r>
      <w:r w:rsidR="00B93FB7">
        <w:rPr>
          <w:rFonts w:cstheme="minorHAnsi"/>
          <w:color w:val="000000" w:themeColor="text1"/>
          <w:sz w:val="22"/>
          <w:szCs w:val="22"/>
        </w:rPr>
        <w:t xml:space="preserve"> is likely a reflection of that</w:t>
      </w:r>
      <w:r w:rsidR="00A535BA">
        <w:rPr>
          <w:rFonts w:cstheme="minorHAnsi"/>
          <w:color w:val="000000" w:themeColor="text1"/>
          <w:sz w:val="22"/>
          <w:szCs w:val="22"/>
        </w:rPr>
        <w:t xml:space="preserve"> review</w:t>
      </w:r>
      <w:r w:rsidR="00B93FB7">
        <w:rPr>
          <w:rFonts w:cstheme="minorHAnsi"/>
          <w:color w:val="000000" w:themeColor="text1"/>
          <w:sz w:val="22"/>
          <w:szCs w:val="22"/>
        </w:rPr>
        <w:t xml:space="preserve"> process</w:t>
      </w:r>
      <w:r w:rsidR="005C513C">
        <w:rPr>
          <w:rFonts w:cstheme="minorHAnsi"/>
          <w:color w:val="000000" w:themeColor="text1"/>
          <w:sz w:val="22"/>
          <w:szCs w:val="22"/>
        </w:rPr>
        <w:t xml:space="preserve">. </w:t>
      </w:r>
      <w:r w:rsidR="004C2DE6">
        <w:rPr>
          <w:rFonts w:cstheme="minorHAnsi"/>
          <w:color w:val="000000" w:themeColor="text1"/>
          <w:sz w:val="22"/>
          <w:szCs w:val="22"/>
        </w:rPr>
        <w:t xml:space="preserve">After adjusting for </w:t>
      </w:r>
      <w:r w:rsidR="004C2DE6">
        <w:rPr>
          <w:rFonts w:cstheme="minorHAnsi"/>
          <w:color w:val="000000" w:themeColor="text1"/>
          <w:sz w:val="22"/>
          <w:szCs w:val="22"/>
        </w:rPr>
        <w:lastRenderedPageBreak/>
        <w:t>the programs identified as either inactive or consolidated with another program, there were 50 programs available for assessment, yielding a reporting rate of 8</w:t>
      </w:r>
      <w:r w:rsidR="00315CE5">
        <w:rPr>
          <w:rFonts w:cstheme="minorHAnsi"/>
          <w:color w:val="000000" w:themeColor="text1"/>
          <w:sz w:val="22"/>
          <w:szCs w:val="22"/>
        </w:rPr>
        <w:t>8</w:t>
      </w:r>
      <w:r w:rsidR="004C2DE6">
        <w:rPr>
          <w:rFonts w:cstheme="minorHAnsi"/>
          <w:color w:val="000000" w:themeColor="text1"/>
          <w:sz w:val="22"/>
          <w:szCs w:val="22"/>
        </w:rPr>
        <w:t xml:space="preserve">% as of December 15, 2018. </w:t>
      </w:r>
    </w:p>
    <w:p w14:paraId="2EC4C576" w14:textId="6B40D3BE" w:rsidR="00682130" w:rsidRDefault="00682130">
      <w:pPr>
        <w:rPr>
          <w:rFonts w:cstheme="minorHAnsi"/>
          <w:color w:val="000000" w:themeColor="text1"/>
          <w:sz w:val="22"/>
          <w:szCs w:val="22"/>
        </w:rPr>
      </w:pPr>
    </w:p>
    <w:p w14:paraId="35C31866" w14:textId="104EF4B9" w:rsidR="00D50783" w:rsidRPr="00F72CDD" w:rsidRDefault="00D50783">
      <w:pPr>
        <w:rPr>
          <w:rFonts w:cstheme="minorHAnsi"/>
          <w:color w:val="000000" w:themeColor="text1"/>
          <w:sz w:val="20"/>
          <w:szCs w:val="20"/>
        </w:rPr>
      </w:pPr>
      <w:r w:rsidRPr="00F72CDD">
        <w:rPr>
          <w:rFonts w:cstheme="minorHAnsi"/>
          <w:color w:val="000000" w:themeColor="text1"/>
          <w:sz w:val="20"/>
          <w:szCs w:val="20"/>
        </w:rPr>
        <w:t xml:space="preserve">Table 1: </w:t>
      </w:r>
      <w:r w:rsidR="006A643C" w:rsidRPr="00F72CDD">
        <w:rPr>
          <w:rFonts w:cstheme="minorHAnsi"/>
          <w:color w:val="000000" w:themeColor="text1"/>
          <w:sz w:val="20"/>
          <w:szCs w:val="20"/>
        </w:rPr>
        <w:t xml:space="preserve">Number of programs completing assessment reports. Incomplete reports include programs requesting extensions or deferring to program review, claiming an inability to report, or simply not reporting.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335"/>
        <w:gridCol w:w="1890"/>
        <w:gridCol w:w="2160"/>
        <w:gridCol w:w="2430"/>
      </w:tblGrid>
      <w:tr w:rsidR="00F11CFB" w14:paraId="4BF9072A" w14:textId="77777777" w:rsidTr="00F11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83FD4AA" w14:textId="18EA4086" w:rsidR="0083763C" w:rsidRDefault="0083763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Program type</w:t>
            </w:r>
          </w:p>
        </w:tc>
        <w:tc>
          <w:tcPr>
            <w:tcW w:w="1890" w:type="dxa"/>
          </w:tcPr>
          <w:p w14:paraId="63CE3C52" w14:textId="5739D5A8" w:rsidR="0083763C" w:rsidRDefault="00837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Complete reports</w:t>
            </w:r>
          </w:p>
        </w:tc>
        <w:tc>
          <w:tcPr>
            <w:tcW w:w="2160" w:type="dxa"/>
          </w:tcPr>
          <w:p w14:paraId="79ED0953" w14:textId="7459214D" w:rsidR="0083763C" w:rsidRDefault="00837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Incomplete reports</w:t>
            </w:r>
          </w:p>
        </w:tc>
        <w:tc>
          <w:tcPr>
            <w:tcW w:w="2430" w:type="dxa"/>
          </w:tcPr>
          <w:p w14:paraId="158BB8CE" w14:textId="0C3CCF77" w:rsidR="0083763C" w:rsidRDefault="008E2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Identified c</w:t>
            </w:r>
            <w:r w:rsidR="0083763C">
              <w:rPr>
                <w:rFonts w:cstheme="minorHAnsi"/>
                <w:color w:val="000000" w:themeColor="text1"/>
                <w:sz w:val="22"/>
                <w:szCs w:val="22"/>
              </w:rPr>
              <w:t>hanges to program status</w:t>
            </w:r>
            <w:r w:rsidR="000640E8">
              <w:rPr>
                <w:rFonts w:cstheme="minorHAnsi"/>
                <w:color w:val="000000" w:themeColor="text1"/>
                <w:sz w:val="22"/>
                <w:szCs w:val="22"/>
              </w:rPr>
              <w:t xml:space="preserve"> in </w:t>
            </w:r>
            <w:r w:rsidR="008B0EBD">
              <w:rPr>
                <w:rFonts w:cstheme="minorHAnsi"/>
                <w:color w:val="000000" w:themeColor="text1"/>
                <w:sz w:val="22"/>
                <w:szCs w:val="22"/>
              </w:rPr>
              <w:t>Tk20</w:t>
            </w:r>
          </w:p>
        </w:tc>
      </w:tr>
      <w:tr w:rsidR="00F11CFB" w14:paraId="1CC30ABA" w14:textId="77777777" w:rsidTr="00F1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B94B199" w14:textId="4FBCF756" w:rsidR="0083763C" w:rsidRDefault="0083763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Undergraduate </w:t>
            </w:r>
          </w:p>
        </w:tc>
        <w:tc>
          <w:tcPr>
            <w:tcW w:w="1890" w:type="dxa"/>
          </w:tcPr>
          <w:p w14:paraId="026DFE2C" w14:textId="4F2E9C79" w:rsidR="0083763C" w:rsidRDefault="00837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  <w:r w:rsidR="003F2199"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14:paraId="50BC8B51" w14:textId="483C9628" w:rsidR="0083763C" w:rsidRDefault="00D50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  <w:r w:rsidR="0083763C">
              <w:rPr>
                <w:rFonts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430" w:type="dxa"/>
          </w:tcPr>
          <w:p w14:paraId="6C397825" w14:textId="5AA0ED98" w:rsidR="0083763C" w:rsidRDefault="006A3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5</w:t>
            </w:r>
            <w:r w:rsidR="0083763C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11CFB" w14:paraId="3CA35F67" w14:textId="77777777" w:rsidTr="00F1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7209E3C" w14:textId="30AA1625" w:rsidR="0083763C" w:rsidRDefault="0083763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Graduate</w:t>
            </w:r>
          </w:p>
        </w:tc>
        <w:tc>
          <w:tcPr>
            <w:tcW w:w="1890" w:type="dxa"/>
          </w:tcPr>
          <w:p w14:paraId="79633ED5" w14:textId="7C03BCD2" w:rsidR="0083763C" w:rsidRDefault="00837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14:paraId="6F6E65D1" w14:textId="722A9183" w:rsidR="0083763C" w:rsidRDefault="00837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944E740" w14:textId="0E198204" w:rsidR="0083763C" w:rsidRDefault="006A3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F11CFB" w14:paraId="71B6DD65" w14:textId="77777777" w:rsidTr="00F1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366D13A" w14:textId="083D3A9D" w:rsidR="0083763C" w:rsidRDefault="0083763C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Graduate certificates</w:t>
            </w:r>
          </w:p>
        </w:tc>
        <w:tc>
          <w:tcPr>
            <w:tcW w:w="1890" w:type="dxa"/>
          </w:tcPr>
          <w:p w14:paraId="3A755DFC" w14:textId="6D6B29B3" w:rsidR="0083763C" w:rsidRDefault="00E8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14:paraId="43A36410" w14:textId="0AACF2CB" w:rsidR="0083763C" w:rsidRDefault="00837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6E4299A5" w14:textId="1B4A931A" w:rsidR="0083763C" w:rsidRDefault="00837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0158EB01" w14:textId="77777777" w:rsidR="00B93FB7" w:rsidRDefault="00B93FB7" w:rsidP="006F246E">
      <w:pPr>
        <w:pStyle w:val="Heading2"/>
      </w:pPr>
    </w:p>
    <w:p w14:paraId="77E402FF" w14:textId="7FA89494" w:rsidR="000D6FE2" w:rsidRDefault="006F246E" w:rsidP="006F246E">
      <w:pPr>
        <w:pStyle w:val="Heading2"/>
      </w:pPr>
      <w:r>
        <w:t>Filing</w:t>
      </w:r>
      <w:r w:rsidR="000558A4">
        <w:t xml:space="preserve"> and archiving of assessment reports</w:t>
      </w:r>
    </w:p>
    <w:p w14:paraId="4AF21E6C" w14:textId="605240BD" w:rsidR="00682130" w:rsidRPr="00AB5C4E" w:rsidRDefault="00275A9C">
      <w:pPr>
        <w:rPr>
          <w:rFonts w:cstheme="minorHAnsi"/>
          <w:color w:val="000000" w:themeColor="text1"/>
          <w:sz w:val="22"/>
          <w:szCs w:val="22"/>
        </w:rPr>
      </w:pPr>
      <w:r w:rsidRPr="00AB5C4E">
        <w:rPr>
          <w:rFonts w:cstheme="minorHAnsi"/>
          <w:color w:val="000000" w:themeColor="text1"/>
          <w:sz w:val="22"/>
          <w:szCs w:val="22"/>
        </w:rPr>
        <w:t>Of the 4</w:t>
      </w:r>
      <w:r w:rsidR="00123EDD">
        <w:rPr>
          <w:rFonts w:cstheme="minorHAnsi"/>
          <w:color w:val="000000" w:themeColor="text1"/>
          <w:sz w:val="22"/>
          <w:szCs w:val="22"/>
        </w:rPr>
        <w:t>5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reports filed, 24 (5</w:t>
      </w:r>
      <w:r w:rsidR="00063F63">
        <w:rPr>
          <w:rFonts w:cstheme="minorHAnsi"/>
          <w:color w:val="000000" w:themeColor="text1"/>
          <w:sz w:val="22"/>
          <w:szCs w:val="22"/>
        </w:rPr>
        <w:t>3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%) were not filed directly into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but emailed to either Interim Associate Provost Erin Baumgartner or Project Manager Beverly West</w:t>
      </w:r>
      <w:r w:rsidR="00F92DC7">
        <w:rPr>
          <w:rFonts w:cstheme="minorHAnsi"/>
          <w:color w:val="000000" w:themeColor="text1"/>
          <w:sz w:val="22"/>
          <w:szCs w:val="22"/>
        </w:rPr>
        <w:t>,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who </w:t>
      </w:r>
      <w:r w:rsidR="00F92DC7">
        <w:rPr>
          <w:rFonts w:cstheme="minorHAnsi"/>
          <w:color w:val="000000" w:themeColor="text1"/>
          <w:sz w:val="22"/>
          <w:szCs w:val="22"/>
        </w:rPr>
        <w:t xml:space="preserve">then </w:t>
      </w:r>
      <w:r w:rsidR="00F323A2">
        <w:rPr>
          <w:rFonts w:cstheme="minorHAnsi"/>
          <w:color w:val="000000" w:themeColor="text1"/>
          <w:sz w:val="22"/>
          <w:szCs w:val="22"/>
        </w:rPr>
        <w:t xml:space="preserve">completed the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F323A2">
        <w:rPr>
          <w:rFonts w:cstheme="minorHAnsi"/>
          <w:color w:val="000000" w:themeColor="text1"/>
          <w:sz w:val="22"/>
          <w:szCs w:val="22"/>
        </w:rPr>
        <w:t xml:space="preserve"> input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. The majority of these </w:t>
      </w:r>
      <w:r w:rsidR="00872E4C">
        <w:rPr>
          <w:rFonts w:cstheme="minorHAnsi"/>
          <w:color w:val="000000" w:themeColor="text1"/>
          <w:sz w:val="22"/>
          <w:szCs w:val="22"/>
        </w:rPr>
        <w:t xml:space="preserve">emailed </w:t>
      </w:r>
      <w:r w:rsidR="00E856E4">
        <w:rPr>
          <w:rFonts w:cstheme="minorHAnsi"/>
          <w:color w:val="000000" w:themeColor="text1"/>
          <w:sz w:val="22"/>
          <w:szCs w:val="22"/>
        </w:rPr>
        <w:t>reports were submitted by individuals who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indicated </w:t>
      </w:r>
      <w:r w:rsidR="00F92DC7" w:rsidRPr="00AB5C4E">
        <w:rPr>
          <w:rFonts w:cstheme="minorHAnsi"/>
          <w:color w:val="000000" w:themeColor="text1"/>
          <w:sz w:val="22"/>
          <w:szCs w:val="22"/>
        </w:rPr>
        <w:t xml:space="preserve">either 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a lack of familiarity with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or an attempt to use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Pr="00AB5C4E">
        <w:rPr>
          <w:rFonts w:cstheme="minorHAnsi"/>
          <w:color w:val="000000" w:themeColor="text1"/>
          <w:sz w:val="22"/>
          <w:szCs w:val="22"/>
        </w:rPr>
        <w:t xml:space="preserve"> that resulted in some technological </w:t>
      </w:r>
      <w:proofErr w:type="gramStart"/>
      <w:r w:rsidRPr="00AB5C4E">
        <w:rPr>
          <w:rFonts w:cstheme="minorHAnsi"/>
          <w:color w:val="000000" w:themeColor="text1"/>
          <w:sz w:val="22"/>
          <w:szCs w:val="22"/>
        </w:rPr>
        <w:t>barrier</w:t>
      </w:r>
      <w:r w:rsidR="00F92DC7">
        <w:rPr>
          <w:rFonts w:cstheme="minorHAnsi"/>
          <w:color w:val="000000" w:themeColor="text1"/>
          <w:sz w:val="22"/>
          <w:szCs w:val="22"/>
        </w:rPr>
        <w:t>;</w:t>
      </w:r>
      <w:r w:rsidR="00F323A2">
        <w:rPr>
          <w:rFonts w:cstheme="minorHAnsi"/>
          <w:color w:val="000000" w:themeColor="text1"/>
          <w:sz w:val="22"/>
          <w:szCs w:val="22"/>
        </w:rPr>
        <w:t xml:space="preserve">  two</w:t>
      </w:r>
      <w:proofErr w:type="gramEnd"/>
      <w:r w:rsidR="00F323A2">
        <w:rPr>
          <w:rFonts w:cstheme="minorHAnsi"/>
          <w:color w:val="000000" w:themeColor="text1"/>
          <w:sz w:val="22"/>
          <w:szCs w:val="22"/>
        </w:rPr>
        <w:t xml:space="preserve"> program reports indicated a desire for more assistance and training in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F323A2">
        <w:rPr>
          <w:rFonts w:cstheme="minorHAnsi"/>
          <w:color w:val="000000" w:themeColor="text1"/>
          <w:sz w:val="22"/>
          <w:szCs w:val="22"/>
        </w:rPr>
        <w:t xml:space="preserve"> use. </w:t>
      </w:r>
      <w:r w:rsidR="00C135BD">
        <w:rPr>
          <w:rFonts w:cstheme="minorHAnsi"/>
          <w:color w:val="000000" w:themeColor="text1"/>
          <w:sz w:val="22"/>
          <w:szCs w:val="22"/>
        </w:rPr>
        <w:t>A small number of programs also identified the use of Moodle as their primary data archive</w:t>
      </w:r>
      <w:r w:rsidR="0067175A">
        <w:rPr>
          <w:rFonts w:cstheme="minorHAnsi"/>
          <w:color w:val="000000" w:themeColor="text1"/>
          <w:sz w:val="22"/>
          <w:szCs w:val="22"/>
        </w:rPr>
        <w:t xml:space="preserve">. Given the instability of Moodle, this is </w:t>
      </w:r>
      <w:r w:rsidR="00F92DC7">
        <w:rPr>
          <w:rFonts w:cstheme="minorHAnsi"/>
          <w:color w:val="000000" w:themeColor="text1"/>
          <w:sz w:val="22"/>
          <w:szCs w:val="22"/>
        </w:rPr>
        <w:t xml:space="preserve">an </w:t>
      </w:r>
      <w:r w:rsidR="0067175A">
        <w:rPr>
          <w:rFonts w:cstheme="minorHAnsi"/>
          <w:color w:val="000000" w:themeColor="text1"/>
          <w:sz w:val="22"/>
          <w:szCs w:val="22"/>
        </w:rPr>
        <w:t>undesirable</w:t>
      </w:r>
      <w:r w:rsidR="0067175A" w:rsidRPr="0067175A">
        <w:rPr>
          <w:rFonts w:cstheme="minorHAnsi"/>
          <w:color w:val="000000" w:themeColor="text1"/>
          <w:sz w:val="22"/>
          <w:szCs w:val="22"/>
        </w:rPr>
        <w:t xml:space="preserve"> </w:t>
      </w:r>
      <w:r w:rsidR="0067175A">
        <w:rPr>
          <w:rFonts w:cstheme="minorHAnsi"/>
          <w:color w:val="000000" w:themeColor="text1"/>
          <w:sz w:val="22"/>
          <w:szCs w:val="22"/>
        </w:rPr>
        <w:t>practice</w:t>
      </w:r>
      <w:r w:rsidR="00C135BD">
        <w:rPr>
          <w:rFonts w:cstheme="minorHAnsi"/>
          <w:color w:val="000000" w:themeColor="text1"/>
          <w:sz w:val="22"/>
          <w:szCs w:val="22"/>
        </w:rPr>
        <w:t xml:space="preserve">. Other programs, currently departmental archives </w:t>
      </w:r>
      <w:r w:rsidR="00B234C9">
        <w:rPr>
          <w:rFonts w:cstheme="minorHAnsi"/>
          <w:color w:val="000000" w:themeColor="text1"/>
          <w:sz w:val="22"/>
          <w:szCs w:val="22"/>
        </w:rPr>
        <w:t xml:space="preserve">(ranging from papers maintained in filing cabinets, to un-networked hard drives, to password-protected networked University drives) </w:t>
      </w:r>
      <w:r w:rsidR="00C135BD">
        <w:rPr>
          <w:rFonts w:cstheme="minorHAnsi"/>
          <w:color w:val="000000" w:themeColor="text1"/>
          <w:sz w:val="22"/>
          <w:szCs w:val="22"/>
        </w:rPr>
        <w:t xml:space="preserve">noted a desire for a more centralized and strategic University assessment data archival system. </w:t>
      </w:r>
      <w:r w:rsidR="00B93FB7">
        <w:rPr>
          <w:rFonts w:cstheme="minorHAnsi"/>
          <w:color w:val="000000" w:themeColor="text1"/>
          <w:sz w:val="22"/>
          <w:szCs w:val="22"/>
        </w:rPr>
        <w:t xml:space="preserve">Most programs painted in very broad strokes when describing the location and status of assessment data. Unsurprisingly, about a half dozen of program assessment coordinators new to the process expressed frustration and a lack of clarity as to the necessary practice or availability of assessment data. </w:t>
      </w:r>
      <w:r w:rsidR="00C135BD">
        <w:rPr>
          <w:rFonts w:cstheme="minorHAnsi"/>
          <w:color w:val="000000" w:themeColor="text1"/>
          <w:sz w:val="22"/>
          <w:szCs w:val="22"/>
        </w:rPr>
        <w:t xml:space="preserve">This information taken together indicates a need for a higher level of training and targeted use of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C135BD">
        <w:rPr>
          <w:rFonts w:cstheme="minorHAnsi"/>
          <w:color w:val="000000" w:themeColor="text1"/>
          <w:sz w:val="22"/>
          <w:szCs w:val="22"/>
        </w:rPr>
        <w:t xml:space="preserve"> for assessment</w:t>
      </w:r>
      <w:r w:rsidR="00B93FB7">
        <w:rPr>
          <w:rFonts w:cstheme="minorHAnsi"/>
          <w:color w:val="000000" w:themeColor="text1"/>
          <w:sz w:val="22"/>
          <w:szCs w:val="22"/>
        </w:rPr>
        <w:t xml:space="preserve"> and for explicit instructions in Tk20 to </w:t>
      </w:r>
      <w:r w:rsidR="00B234C9">
        <w:rPr>
          <w:rFonts w:cstheme="minorHAnsi"/>
          <w:color w:val="000000" w:themeColor="text1"/>
          <w:sz w:val="22"/>
          <w:szCs w:val="22"/>
        </w:rPr>
        <w:t>describe in detail the status and storage of data so that subsequent assessment coordinators are better able to follow up</w:t>
      </w:r>
      <w:r w:rsidR="00C135BD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2935006D" w14:textId="5A6E564B" w:rsidR="00275A9C" w:rsidRDefault="00275A9C">
      <w:pPr>
        <w:rPr>
          <w:rFonts w:cstheme="minorHAnsi"/>
          <w:color w:val="000000" w:themeColor="text1"/>
          <w:sz w:val="22"/>
          <w:szCs w:val="22"/>
        </w:rPr>
      </w:pPr>
    </w:p>
    <w:p w14:paraId="55F15156" w14:textId="2B917AE0" w:rsidR="000558A4" w:rsidRPr="00AB5C4E" w:rsidRDefault="000558A4" w:rsidP="006F246E">
      <w:pPr>
        <w:pStyle w:val="Heading2"/>
      </w:pPr>
      <w:r>
        <w:t>Program Learning Outcomes</w:t>
      </w:r>
    </w:p>
    <w:p w14:paraId="563511B1" w14:textId="16B8DD91" w:rsidR="009E56B2" w:rsidRDefault="00261838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Reporting on learning outcomes varied greatly by program. </w:t>
      </w:r>
      <w:r w:rsidR="00214F66">
        <w:rPr>
          <w:rFonts w:cstheme="minorHAnsi"/>
          <w:color w:val="000000" w:themeColor="text1"/>
          <w:sz w:val="22"/>
          <w:szCs w:val="22"/>
        </w:rPr>
        <w:t xml:space="preserve">The number of outcomes in a program </w:t>
      </w:r>
      <w:r w:rsidR="005E40A1">
        <w:rPr>
          <w:rFonts w:cstheme="minorHAnsi"/>
          <w:color w:val="000000" w:themeColor="text1"/>
          <w:sz w:val="22"/>
          <w:szCs w:val="22"/>
        </w:rPr>
        <w:t>range</w:t>
      </w:r>
      <w:r w:rsidR="00214F66">
        <w:rPr>
          <w:rFonts w:cstheme="minorHAnsi"/>
          <w:color w:val="000000" w:themeColor="text1"/>
          <w:sz w:val="22"/>
          <w:szCs w:val="22"/>
        </w:rPr>
        <w:t>s</w:t>
      </w:r>
      <w:r w:rsidR="005E40A1">
        <w:rPr>
          <w:rFonts w:cstheme="minorHAnsi"/>
          <w:color w:val="000000" w:themeColor="text1"/>
          <w:sz w:val="22"/>
          <w:szCs w:val="22"/>
        </w:rPr>
        <w:t xml:space="preserve"> from </w:t>
      </w:r>
      <w:r w:rsidR="00C575C6">
        <w:rPr>
          <w:rFonts w:cstheme="minorHAnsi"/>
          <w:color w:val="000000" w:themeColor="text1"/>
          <w:sz w:val="22"/>
          <w:szCs w:val="22"/>
        </w:rPr>
        <w:t>three</w:t>
      </w:r>
      <w:r w:rsidR="00712796">
        <w:rPr>
          <w:rFonts w:cstheme="minorHAnsi"/>
          <w:color w:val="000000" w:themeColor="text1"/>
          <w:sz w:val="22"/>
          <w:szCs w:val="22"/>
        </w:rPr>
        <w:t xml:space="preserve"> to nine </w:t>
      </w:r>
      <w:r w:rsidR="00BB13BC">
        <w:rPr>
          <w:rFonts w:cstheme="minorHAnsi"/>
          <w:color w:val="000000" w:themeColor="text1"/>
          <w:sz w:val="22"/>
          <w:szCs w:val="22"/>
        </w:rPr>
        <w:t xml:space="preserve">total </w:t>
      </w:r>
      <w:r w:rsidR="00712796">
        <w:rPr>
          <w:rFonts w:cstheme="minorHAnsi"/>
          <w:color w:val="000000" w:themeColor="text1"/>
          <w:sz w:val="22"/>
          <w:szCs w:val="22"/>
        </w:rPr>
        <w:t>outcomes</w:t>
      </w:r>
      <w:r w:rsidR="00DA676E">
        <w:rPr>
          <w:rFonts w:cstheme="minorHAnsi"/>
          <w:color w:val="000000" w:themeColor="text1"/>
          <w:sz w:val="22"/>
          <w:szCs w:val="22"/>
        </w:rPr>
        <w:t xml:space="preserve"> (mean = 3.58, median = 3, mode = 3)</w:t>
      </w:r>
      <w:r w:rsidR="00712796">
        <w:rPr>
          <w:rFonts w:cstheme="minorHAnsi"/>
          <w:color w:val="000000" w:themeColor="text1"/>
          <w:sz w:val="22"/>
          <w:szCs w:val="22"/>
        </w:rPr>
        <w:t xml:space="preserve">. </w:t>
      </w:r>
      <w:r>
        <w:rPr>
          <w:rFonts w:cstheme="minorHAnsi"/>
          <w:color w:val="000000" w:themeColor="text1"/>
          <w:sz w:val="22"/>
          <w:szCs w:val="22"/>
        </w:rPr>
        <w:t>The majority of programs (2</w:t>
      </w:r>
      <w:r w:rsidR="00BA4427">
        <w:rPr>
          <w:rFonts w:cstheme="minorHAnsi"/>
          <w:color w:val="000000" w:themeColor="text1"/>
          <w:sz w:val="22"/>
          <w:szCs w:val="22"/>
        </w:rPr>
        <w:t>9</w:t>
      </w:r>
      <w:r>
        <w:rPr>
          <w:rFonts w:cstheme="minorHAnsi"/>
          <w:color w:val="000000" w:themeColor="text1"/>
          <w:sz w:val="22"/>
          <w:szCs w:val="22"/>
        </w:rPr>
        <w:t xml:space="preserve">) reported on some subset of </w:t>
      </w:r>
      <w:r w:rsidR="00380BBC">
        <w:rPr>
          <w:rFonts w:cstheme="minorHAnsi"/>
          <w:color w:val="000000" w:themeColor="text1"/>
          <w:sz w:val="22"/>
          <w:szCs w:val="22"/>
        </w:rPr>
        <w:t xml:space="preserve">their </w:t>
      </w:r>
      <w:r>
        <w:rPr>
          <w:rFonts w:cstheme="minorHAnsi"/>
          <w:color w:val="000000" w:themeColor="text1"/>
          <w:sz w:val="22"/>
          <w:szCs w:val="22"/>
        </w:rPr>
        <w:t>outcomes</w:t>
      </w:r>
      <w:r w:rsidR="007E5BBB">
        <w:rPr>
          <w:rFonts w:cstheme="minorHAnsi"/>
          <w:color w:val="000000" w:themeColor="text1"/>
          <w:sz w:val="22"/>
          <w:szCs w:val="22"/>
        </w:rPr>
        <w:t xml:space="preserve"> (</w:t>
      </w:r>
      <w:r w:rsidR="00DA676E">
        <w:rPr>
          <w:rFonts w:cstheme="minorHAnsi"/>
          <w:color w:val="000000" w:themeColor="text1"/>
          <w:sz w:val="22"/>
          <w:szCs w:val="22"/>
        </w:rPr>
        <w:t>mean = 1.76, median = 1, mode = 1</w:t>
      </w:r>
      <w:r w:rsidR="007E5BBB">
        <w:rPr>
          <w:rFonts w:cstheme="minorHAnsi"/>
          <w:color w:val="000000" w:themeColor="text1"/>
          <w:sz w:val="22"/>
          <w:szCs w:val="22"/>
        </w:rPr>
        <w:t>)</w:t>
      </w:r>
      <w:r>
        <w:rPr>
          <w:rFonts w:cstheme="minorHAnsi"/>
          <w:color w:val="000000" w:themeColor="text1"/>
          <w:sz w:val="22"/>
          <w:szCs w:val="22"/>
        </w:rPr>
        <w:t>. A large number of programs (</w:t>
      </w:r>
      <w:r w:rsidR="00753E9C" w:rsidRPr="00AB5C4E">
        <w:rPr>
          <w:rFonts w:cstheme="minorHAnsi"/>
          <w:color w:val="000000" w:themeColor="text1"/>
          <w:sz w:val="22"/>
          <w:szCs w:val="22"/>
        </w:rPr>
        <w:t>1</w:t>
      </w:r>
      <w:r w:rsidR="00BA4427">
        <w:rPr>
          <w:rFonts w:cstheme="minorHAnsi"/>
          <w:color w:val="000000" w:themeColor="text1"/>
          <w:sz w:val="22"/>
          <w:szCs w:val="22"/>
        </w:rPr>
        <w:t>6</w:t>
      </w:r>
      <w:r>
        <w:rPr>
          <w:rFonts w:cstheme="minorHAnsi"/>
          <w:color w:val="000000" w:themeColor="text1"/>
          <w:sz w:val="22"/>
          <w:szCs w:val="22"/>
        </w:rPr>
        <w:t>)</w:t>
      </w:r>
      <w:r w:rsidR="00753E9C" w:rsidRPr="00AB5C4E">
        <w:rPr>
          <w:rFonts w:cstheme="minorHAnsi"/>
          <w:color w:val="000000" w:themeColor="text1"/>
          <w:sz w:val="22"/>
          <w:szCs w:val="22"/>
        </w:rPr>
        <w:t xml:space="preserve"> reported in some way on all of their learning outcomes</w:t>
      </w:r>
      <w:r>
        <w:rPr>
          <w:rFonts w:cstheme="minorHAnsi"/>
          <w:color w:val="000000" w:themeColor="text1"/>
          <w:sz w:val="22"/>
          <w:szCs w:val="22"/>
        </w:rPr>
        <w:t>.</w:t>
      </w:r>
      <w:r w:rsidR="00753E9C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B46DE2">
        <w:rPr>
          <w:rFonts w:cstheme="minorHAnsi"/>
          <w:color w:val="000000" w:themeColor="text1"/>
          <w:sz w:val="22"/>
          <w:szCs w:val="22"/>
        </w:rPr>
        <w:t>Six</w:t>
      </w:r>
      <w:r w:rsidR="00753E9C" w:rsidRPr="00AB5C4E">
        <w:rPr>
          <w:rFonts w:cstheme="minorHAnsi"/>
          <w:color w:val="000000" w:themeColor="text1"/>
          <w:sz w:val="22"/>
          <w:szCs w:val="22"/>
        </w:rPr>
        <w:t xml:space="preserve"> of these programs used a single “holistic” assessment instrument to gather data on all of their outcomes.</w:t>
      </w:r>
      <w:r w:rsidR="00213912">
        <w:rPr>
          <w:rFonts w:cstheme="minorHAnsi"/>
          <w:color w:val="000000" w:themeColor="text1"/>
          <w:sz w:val="22"/>
          <w:szCs w:val="22"/>
        </w:rPr>
        <w:t xml:space="preserve"> </w:t>
      </w:r>
      <w:r w:rsidR="00753E9C" w:rsidRPr="00AB5C4E">
        <w:rPr>
          <w:rFonts w:cstheme="minorHAnsi"/>
          <w:color w:val="000000" w:themeColor="text1"/>
          <w:sz w:val="22"/>
          <w:szCs w:val="22"/>
        </w:rPr>
        <w:t>In most cases such an instrument was an optimal fit to one “primary” outcome but poorly aligned to the other “secondary” outcomes</w:t>
      </w:r>
      <w:r w:rsidR="00213912">
        <w:rPr>
          <w:rFonts w:cstheme="minorHAnsi"/>
          <w:color w:val="000000" w:themeColor="text1"/>
          <w:sz w:val="22"/>
          <w:szCs w:val="22"/>
        </w:rPr>
        <w:t>, based upon the description of instruments and the discussion of the data (if presented)</w:t>
      </w:r>
      <w:r w:rsidR="00753E9C" w:rsidRPr="00AB5C4E">
        <w:rPr>
          <w:rFonts w:cstheme="minorHAnsi"/>
          <w:color w:val="000000" w:themeColor="text1"/>
          <w:sz w:val="22"/>
          <w:szCs w:val="22"/>
        </w:rPr>
        <w:t>.</w:t>
      </w:r>
      <w:r w:rsidR="00B46DE2">
        <w:rPr>
          <w:rFonts w:cstheme="minorHAnsi"/>
          <w:color w:val="000000" w:themeColor="text1"/>
          <w:sz w:val="22"/>
          <w:szCs w:val="22"/>
        </w:rPr>
        <w:t xml:space="preserve"> </w:t>
      </w:r>
      <w:r w:rsidR="0008303F">
        <w:rPr>
          <w:rFonts w:cstheme="minorHAnsi"/>
          <w:color w:val="000000" w:themeColor="text1"/>
          <w:sz w:val="22"/>
          <w:szCs w:val="22"/>
        </w:rPr>
        <w:t>There was only one program that stood</w:t>
      </w:r>
      <w:r w:rsidR="00B46DE2">
        <w:rPr>
          <w:rFonts w:cstheme="minorHAnsi"/>
          <w:color w:val="000000" w:themeColor="text1"/>
          <w:sz w:val="22"/>
          <w:szCs w:val="22"/>
        </w:rPr>
        <w:t xml:space="preserve"> out as using a holistic instrument (capstone experience) to effectively assess </w:t>
      </w:r>
      <w:r w:rsidR="00287CFA">
        <w:rPr>
          <w:rFonts w:cstheme="minorHAnsi"/>
          <w:color w:val="000000" w:themeColor="text1"/>
          <w:sz w:val="22"/>
          <w:szCs w:val="22"/>
        </w:rPr>
        <w:t>multiple</w:t>
      </w:r>
      <w:r w:rsidR="00B46DE2">
        <w:rPr>
          <w:rFonts w:cstheme="minorHAnsi"/>
          <w:color w:val="000000" w:themeColor="text1"/>
          <w:sz w:val="22"/>
          <w:szCs w:val="22"/>
        </w:rPr>
        <w:t xml:space="preserve"> program outcomes</w:t>
      </w:r>
      <w:r w:rsidR="00213912">
        <w:rPr>
          <w:rFonts w:cstheme="minorHAnsi"/>
          <w:color w:val="000000" w:themeColor="text1"/>
          <w:sz w:val="22"/>
          <w:szCs w:val="22"/>
        </w:rPr>
        <w:t xml:space="preserve"> with demonstrated alignment of the instrument to all outcomes</w:t>
      </w:r>
      <w:r w:rsidR="00B46DE2">
        <w:rPr>
          <w:rFonts w:cstheme="minorHAnsi"/>
          <w:color w:val="000000" w:themeColor="text1"/>
          <w:sz w:val="22"/>
          <w:szCs w:val="22"/>
        </w:rPr>
        <w:t>.</w:t>
      </w:r>
      <w:r w:rsidR="00753E9C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FE7670">
        <w:rPr>
          <w:rFonts w:cstheme="minorHAnsi"/>
          <w:color w:val="000000" w:themeColor="text1"/>
          <w:sz w:val="22"/>
          <w:szCs w:val="22"/>
        </w:rPr>
        <w:t>Four</w:t>
      </w:r>
      <w:r w:rsidR="00132861" w:rsidRPr="00AB5C4E">
        <w:rPr>
          <w:rFonts w:cstheme="minorHAnsi"/>
          <w:color w:val="000000" w:themeColor="text1"/>
          <w:sz w:val="22"/>
          <w:szCs w:val="22"/>
        </w:rPr>
        <w:t xml:space="preserve"> programs </w:t>
      </w:r>
      <w:r w:rsidR="002321B9" w:rsidRPr="00AB5C4E">
        <w:rPr>
          <w:rFonts w:cstheme="minorHAnsi"/>
          <w:color w:val="000000" w:themeColor="text1"/>
          <w:sz w:val="22"/>
          <w:szCs w:val="22"/>
        </w:rPr>
        <w:t xml:space="preserve">(including those that did not file reports) </w:t>
      </w:r>
      <w:r w:rsidR="00132861" w:rsidRPr="00AB5C4E">
        <w:rPr>
          <w:rFonts w:cstheme="minorHAnsi"/>
          <w:color w:val="000000" w:themeColor="text1"/>
          <w:sz w:val="22"/>
          <w:szCs w:val="22"/>
        </w:rPr>
        <w:t xml:space="preserve">did not clearly report on any of their program outcomes; two of these programs did make </w:t>
      </w:r>
      <w:r w:rsidR="00132861" w:rsidRPr="00AB5C4E">
        <w:rPr>
          <w:rFonts w:cstheme="minorHAnsi"/>
          <w:color w:val="000000" w:themeColor="text1"/>
          <w:sz w:val="22"/>
          <w:szCs w:val="22"/>
        </w:rPr>
        <w:lastRenderedPageBreak/>
        <w:t xml:space="preserve">note of </w:t>
      </w:r>
      <w:r w:rsidR="00B7759B">
        <w:rPr>
          <w:rFonts w:cstheme="minorHAnsi"/>
          <w:color w:val="000000" w:themeColor="text1"/>
          <w:sz w:val="22"/>
          <w:szCs w:val="22"/>
        </w:rPr>
        <w:t>discovering, via their</w:t>
      </w:r>
      <w:r w:rsidR="00132861" w:rsidRPr="00AB5C4E">
        <w:rPr>
          <w:rFonts w:cstheme="minorHAnsi"/>
          <w:color w:val="000000" w:themeColor="text1"/>
          <w:sz w:val="22"/>
          <w:szCs w:val="22"/>
        </w:rPr>
        <w:t xml:space="preserve"> attempt to work with their outcome</w:t>
      </w:r>
      <w:r w:rsidR="00B7759B">
        <w:rPr>
          <w:rFonts w:cstheme="minorHAnsi"/>
          <w:color w:val="000000" w:themeColor="text1"/>
          <w:sz w:val="22"/>
          <w:szCs w:val="22"/>
        </w:rPr>
        <w:t>s</w:t>
      </w:r>
      <w:r w:rsidR="009E56B2">
        <w:rPr>
          <w:rFonts w:cstheme="minorHAnsi"/>
          <w:color w:val="000000" w:themeColor="text1"/>
          <w:sz w:val="22"/>
          <w:szCs w:val="22"/>
        </w:rPr>
        <w:t>,</w:t>
      </w:r>
      <w:r w:rsidR="00B7759B">
        <w:rPr>
          <w:rFonts w:cstheme="minorHAnsi"/>
          <w:color w:val="000000" w:themeColor="text1"/>
          <w:sz w:val="22"/>
          <w:szCs w:val="22"/>
        </w:rPr>
        <w:t xml:space="preserve"> that those outcomes</w:t>
      </w:r>
      <w:r w:rsidR="00132861" w:rsidRPr="00AB5C4E">
        <w:rPr>
          <w:rFonts w:cstheme="minorHAnsi"/>
          <w:color w:val="000000" w:themeColor="text1"/>
          <w:sz w:val="22"/>
          <w:szCs w:val="22"/>
        </w:rPr>
        <w:t xml:space="preserve"> were so difficult to assess that they intend to revise their outcomes and</w:t>
      </w:r>
      <w:r w:rsidR="004B5918">
        <w:rPr>
          <w:rFonts w:cstheme="minorHAnsi"/>
          <w:color w:val="000000" w:themeColor="text1"/>
          <w:sz w:val="22"/>
          <w:szCs w:val="22"/>
        </w:rPr>
        <w:t xml:space="preserve"> the associated</w:t>
      </w:r>
      <w:r w:rsidR="00132861" w:rsidRPr="00AB5C4E">
        <w:rPr>
          <w:rFonts w:cstheme="minorHAnsi"/>
          <w:color w:val="000000" w:themeColor="text1"/>
          <w:sz w:val="22"/>
          <w:szCs w:val="22"/>
        </w:rPr>
        <w:t xml:space="preserve"> assessment plan</w:t>
      </w:r>
      <w:r w:rsidR="004B5918">
        <w:rPr>
          <w:rFonts w:cstheme="minorHAnsi"/>
          <w:color w:val="000000" w:themeColor="text1"/>
          <w:sz w:val="22"/>
          <w:szCs w:val="22"/>
        </w:rPr>
        <w:t>s</w:t>
      </w:r>
      <w:r w:rsidR="00132861" w:rsidRPr="00AB5C4E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30355088" w14:textId="77777777" w:rsidR="00AF4A2B" w:rsidRDefault="00AF4A2B">
      <w:pPr>
        <w:rPr>
          <w:rFonts w:cstheme="minorHAnsi"/>
          <w:color w:val="000000" w:themeColor="text1"/>
          <w:sz w:val="22"/>
          <w:szCs w:val="22"/>
        </w:rPr>
      </w:pPr>
    </w:p>
    <w:p w14:paraId="4194584C" w14:textId="7BBF4302" w:rsidR="00275A9C" w:rsidRDefault="00DC023D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Generally, programs primarily relied on a capstone experience, portfolio, or proficiency exam</w:t>
      </w:r>
      <w:r w:rsidR="009E56B2">
        <w:rPr>
          <w:rFonts w:cstheme="minorHAnsi"/>
          <w:color w:val="000000" w:themeColor="text1"/>
          <w:sz w:val="22"/>
          <w:szCs w:val="22"/>
        </w:rPr>
        <w:t xml:space="preserve"> to provide their assessment data</w:t>
      </w:r>
      <w:r>
        <w:rPr>
          <w:rFonts w:cstheme="minorHAnsi"/>
          <w:color w:val="000000" w:themeColor="text1"/>
          <w:sz w:val="22"/>
          <w:szCs w:val="22"/>
        </w:rPr>
        <w:t xml:space="preserve">. The few programs that did gather assessment data via coursework </w:t>
      </w:r>
      <w:r w:rsidR="00267A8C">
        <w:rPr>
          <w:rFonts w:cstheme="minorHAnsi"/>
          <w:color w:val="000000" w:themeColor="text1"/>
          <w:sz w:val="22"/>
          <w:szCs w:val="22"/>
        </w:rPr>
        <w:t xml:space="preserve">focused only on a single course or small cluster of courses taken later in program course of study. There were no programs that provided any information on course alignment or </w:t>
      </w:r>
      <w:r w:rsidR="00DF2BE0">
        <w:rPr>
          <w:rFonts w:cstheme="minorHAnsi"/>
          <w:color w:val="000000" w:themeColor="text1"/>
          <w:sz w:val="22"/>
          <w:szCs w:val="22"/>
        </w:rPr>
        <w:t xml:space="preserve">contributions of multiple courses </w:t>
      </w:r>
      <w:r w:rsidR="009E56B2">
        <w:rPr>
          <w:rFonts w:cstheme="minorHAnsi"/>
          <w:color w:val="000000" w:themeColor="text1"/>
          <w:sz w:val="22"/>
          <w:szCs w:val="22"/>
        </w:rPr>
        <w:t xml:space="preserve">in </w:t>
      </w:r>
      <w:r w:rsidR="00DF2BE0">
        <w:rPr>
          <w:rFonts w:cstheme="minorHAnsi"/>
          <w:color w:val="000000" w:themeColor="text1"/>
          <w:sz w:val="22"/>
          <w:szCs w:val="22"/>
        </w:rPr>
        <w:t>a program</w:t>
      </w:r>
      <w:r w:rsidR="00267A8C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7204CBBE" w14:textId="3D092711" w:rsidR="003C7BA1" w:rsidRDefault="003C7BA1">
      <w:pPr>
        <w:rPr>
          <w:rFonts w:cstheme="minorHAnsi"/>
          <w:color w:val="000000" w:themeColor="text1"/>
          <w:sz w:val="22"/>
          <w:szCs w:val="22"/>
        </w:rPr>
      </w:pPr>
    </w:p>
    <w:p w14:paraId="232C9882" w14:textId="699A7F83" w:rsidR="003C7BA1" w:rsidRPr="00AB5C4E" w:rsidRDefault="003C7BA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Alignment of assessment planning </w:t>
      </w:r>
      <w:r w:rsidR="004B5918">
        <w:rPr>
          <w:rFonts w:cstheme="minorHAnsi"/>
          <w:color w:val="000000" w:themeColor="text1"/>
          <w:sz w:val="22"/>
          <w:szCs w:val="22"/>
        </w:rPr>
        <w:t>and/</w:t>
      </w:r>
      <w:r>
        <w:rPr>
          <w:rFonts w:cstheme="minorHAnsi"/>
          <w:color w:val="000000" w:themeColor="text1"/>
          <w:sz w:val="22"/>
          <w:szCs w:val="22"/>
        </w:rPr>
        <w:t xml:space="preserve">or collected data to programmatic learning outcomes was clearly identified in </w:t>
      </w:r>
      <w:r w:rsidR="00757252">
        <w:rPr>
          <w:rFonts w:cstheme="minorHAnsi"/>
          <w:color w:val="000000" w:themeColor="text1"/>
          <w:sz w:val="22"/>
          <w:szCs w:val="22"/>
        </w:rPr>
        <w:t>3</w:t>
      </w:r>
      <w:r w:rsidR="00331A10">
        <w:rPr>
          <w:rFonts w:cstheme="minorHAnsi"/>
          <w:color w:val="000000" w:themeColor="text1"/>
          <w:sz w:val="22"/>
          <w:szCs w:val="22"/>
        </w:rPr>
        <w:t>3</w:t>
      </w:r>
      <w:r w:rsidR="00757252">
        <w:rPr>
          <w:rFonts w:cstheme="minorHAnsi"/>
          <w:color w:val="000000" w:themeColor="text1"/>
          <w:sz w:val="22"/>
          <w:szCs w:val="22"/>
        </w:rPr>
        <w:t xml:space="preserve"> programs. Partial alignment</w:t>
      </w:r>
      <w:r w:rsidR="004B5918">
        <w:rPr>
          <w:rStyle w:val="FootnoteReference"/>
          <w:rFonts w:cstheme="minorHAnsi"/>
          <w:color w:val="000000" w:themeColor="text1"/>
          <w:sz w:val="22"/>
          <w:szCs w:val="22"/>
        </w:rPr>
        <w:footnoteReference w:id="2"/>
      </w:r>
      <w:r w:rsidR="00757252">
        <w:rPr>
          <w:rFonts w:cstheme="minorHAnsi"/>
          <w:color w:val="000000" w:themeColor="text1"/>
          <w:sz w:val="22"/>
          <w:szCs w:val="22"/>
        </w:rPr>
        <w:t xml:space="preserve"> was evident </w:t>
      </w:r>
      <w:r w:rsidR="00D3288D">
        <w:rPr>
          <w:rFonts w:cstheme="minorHAnsi"/>
          <w:color w:val="000000" w:themeColor="text1"/>
          <w:sz w:val="22"/>
          <w:szCs w:val="22"/>
        </w:rPr>
        <w:t>in 6 programs, while alignment was no</w:t>
      </w:r>
      <w:r w:rsidR="004C2DE6">
        <w:rPr>
          <w:rFonts w:cstheme="minorHAnsi"/>
          <w:color w:val="000000" w:themeColor="text1"/>
          <w:sz w:val="22"/>
          <w:szCs w:val="22"/>
        </w:rPr>
        <w:t>t</w:t>
      </w:r>
      <w:r w:rsidR="00D3288D">
        <w:rPr>
          <w:rFonts w:cstheme="minorHAnsi"/>
          <w:color w:val="000000" w:themeColor="text1"/>
          <w:sz w:val="22"/>
          <w:szCs w:val="22"/>
        </w:rPr>
        <w:t xml:space="preserve"> evident in 1</w:t>
      </w:r>
      <w:r w:rsidR="00331A10">
        <w:rPr>
          <w:rFonts w:cstheme="minorHAnsi"/>
          <w:color w:val="000000" w:themeColor="text1"/>
          <w:sz w:val="22"/>
          <w:szCs w:val="22"/>
        </w:rPr>
        <w:t>0</w:t>
      </w:r>
      <w:r w:rsidR="00D3288D">
        <w:rPr>
          <w:rFonts w:cstheme="minorHAnsi"/>
          <w:color w:val="000000" w:themeColor="text1"/>
          <w:sz w:val="22"/>
          <w:szCs w:val="22"/>
        </w:rPr>
        <w:t xml:space="preserve"> programs (including those that failed to report). </w:t>
      </w:r>
    </w:p>
    <w:p w14:paraId="29202218" w14:textId="27194093" w:rsidR="00BA7039" w:rsidRDefault="00BA7039">
      <w:pPr>
        <w:rPr>
          <w:rFonts w:cstheme="minorHAnsi"/>
          <w:color w:val="000000" w:themeColor="text1"/>
          <w:sz w:val="22"/>
          <w:szCs w:val="22"/>
        </w:rPr>
      </w:pPr>
    </w:p>
    <w:p w14:paraId="0ECF207F" w14:textId="47568156" w:rsidR="00AB5C4E" w:rsidRDefault="004B5918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Slightly over half of the</w:t>
      </w:r>
      <w:r w:rsidR="00AB5C4E">
        <w:rPr>
          <w:rFonts w:cstheme="minorHAnsi"/>
          <w:color w:val="000000" w:themeColor="text1"/>
          <w:sz w:val="22"/>
          <w:szCs w:val="22"/>
        </w:rPr>
        <w:t xml:space="preserve"> programs provid</w:t>
      </w:r>
      <w:r>
        <w:rPr>
          <w:rFonts w:cstheme="minorHAnsi"/>
          <w:color w:val="000000" w:themeColor="text1"/>
          <w:sz w:val="22"/>
          <w:szCs w:val="22"/>
        </w:rPr>
        <w:t>ed</w:t>
      </w:r>
      <w:r w:rsid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A27589">
        <w:rPr>
          <w:rFonts w:cstheme="minorHAnsi"/>
          <w:color w:val="000000" w:themeColor="text1"/>
          <w:sz w:val="22"/>
          <w:szCs w:val="22"/>
        </w:rPr>
        <w:t xml:space="preserve">actual assessment data </w:t>
      </w:r>
      <w:r w:rsidR="00315CE5">
        <w:rPr>
          <w:rFonts w:cstheme="minorHAnsi"/>
          <w:color w:val="000000" w:themeColor="text1"/>
          <w:sz w:val="22"/>
          <w:szCs w:val="22"/>
        </w:rPr>
        <w:t>(</w:t>
      </w:r>
      <w:r w:rsidR="00A27589">
        <w:rPr>
          <w:rFonts w:cstheme="minorHAnsi"/>
          <w:color w:val="000000" w:themeColor="text1"/>
          <w:sz w:val="22"/>
          <w:szCs w:val="22"/>
        </w:rPr>
        <w:t>2</w:t>
      </w:r>
      <w:r w:rsidR="009F32E8">
        <w:rPr>
          <w:rFonts w:cstheme="minorHAnsi"/>
          <w:color w:val="000000" w:themeColor="text1"/>
          <w:sz w:val="22"/>
          <w:szCs w:val="22"/>
        </w:rPr>
        <w:t>5</w:t>
      </w:r>
      <w:r w:rsidR="00315CE5">
        <w:rPr>
          <w:rFonts w:cstheme="minorHAnsi"/>
          <w:color w:val="000000" w:themeColor="text1"/>
          <w:sz w:val="22"/>
          <w:szCs w:val="22"/>
        </w:rPr>
        <w:t>)</w:t>
      </w:r>
      <w:r>
        <w:rPr>
          <w:rFonts w:cstheme="minorHAnsi"/>
          <w:color w:val="000000" w:themeColor="text1"/>
          <w:sz w:val="22"/>
          <w:szCs w:val="22"/>
        </w:rPr>
        <w:t>;</w:t>
      </w:r>
      <w:r w:rsidR="00A27589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10 provided </w:t>
      </w:r>
      <w:r w:rsidR="00A27589">
        <w:rPr>
          <w:rFonts w:cstheme="minorHAnsi"/>
          <w:color w:val="000000" w:themeColor="text1"/>
          <w:sz w:val="22"/>
          <w:szCs w:val="22"/>
        </w:rPr>
        <w:t>partial or anecdotal data</w:t>
      </w:r>
      <w:r>
        <w:rPr>
          <w:rFonts w:cstheme="minorHAnsi"/>
          <w:color w:val="000000" w:themeColor="text1"/>
          <w:sz w:val="22"/>
          <w:szCs w:val="22"/>
        </w:rPr>
        <w:t xml:space="preserve"> and 14 did not provide any</w:t>
      </w:r>
      <w:r w:rsidR="00A27589">
        <w:rPr>
          <w:rFonts w:cstheme="minorHAnsi"/>
          <w:color w:val="000000" w:themeColor="text1"/>
          <w:sz w:val="22"/>
          <w:szCs w:val="22"/>
        </w:rPr>
        <w:t xml:space="preserve"> data</w:t>
      </w:r>
      <w:r w:rsidR="00946BFC">
        <w:rPr>
          <w:rFonts w:cstheme="minorHAnsi"/>
          <w:color w:val="000000" w:themeColor="text1"/>
          <w:sz w:val="22"/>
          <w:szCs w:val="22"/>
        </w:rPr>
        <w:t>.</w:t>
      </w:r>
      <w:r w:rsidR="00A27589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Thirty-one </w:t>
      </w:r>
      <w:r w:rsidR="00946BFC">
        <w:rPr>
          <w:rFonts w:cstheme="minorHAnsi"/>
          <w:color w:val="000000" w:themeColor="text1"/>
          <w:sz w:val="22"/>
          <w:szCs w:val="22"/>
        </w:rPr>
        <w:t xml:space="preserve">programs demonstrated evidence of curricular decision-making driven by </w:t>
      </w:r>
      <w:r w:rsidR="00315CE5">
        <w:rPr>
          <w:rFonts w:cstheme="minorHAnsi"/>
          <w:color w:val="000000" w:themeColor="text1"/>
          <w:sz w:val="22"/>
          <w:szCs w:val="22"/>
        </w:rPr>
        <w:t>their review of outcomes assessment</w:t>
      </w:r>
      <w:r w:rsidR="006F7242">
        <w:rPr>
          <w:rFonts w:cstheme="minorHAnsi"/>
          <w:color w:val="000000" w:themeColor="text1"/>
          <w:sz w:val="22"/>
          <w:szCs w:val="22"/>
        </w:rPr>
        <w:t xml:space="preserve">. In </w:t>
      </w:r>
      <w:r w:rsidR="00D51DAD">
        <w:rPr>
          <w:rFonts w:cstheme="minorHAnsi"/>
          <w:color w:val="000000" w:themeColor="text1"/>
          <w:sz w:val="22"/>
          <w:szCs w:val="22"/>
        </w:rPr>
        <w:t>three</w:t>
      </w:r>
      <w:r w:rsidR="006F7242">
        <w:rPr>
          <w:rFonts w:cstheme="minorHAnsi"/>
          <w:color w:val="000000" w:themeColor="text1"/>
          <w:sz w:val="22"/>
          <w:szCs w:val="22"/>
        </w:rPr>
        <w:t xml:space="preserve"> cases, </w:t>
      </w:r>
      <w:r w:rsidR="00CD1BDD">
        <w:rPr>
          <w:rFonts w:cstheme="minorHAnsi"/>
          <w:color w:val="000000" w:themeColor="text1"/>
          <w:sz w:val="22"/>
          <w:szCs w:val="22"/>
        </w:rPr>
        <w:t>programs that did not collect data</w:t>
      </w:r>
      <w:r w:rsidR="000C4C24">
        <w:rPr>
          <w:rFonts w:cstheme="minorHAnsi"/>
          <w:color w:val="000000" w:themeColor="text1"/>
          <w:sz w:val="22"/>
          <w:szCs w:val="22"/>
        </w:rPr>
        <w:t xml:space="preserve"> or collected very limited data</w:t>
      </w:r>
      <w:r w:rsidR="00CD1BDD">
        <w:rPr>
          <w:rFonts w:cstheme="minorHAnsi"/>
          <w:color w:val="000000" w:themeColor="text1"/>
          <w:sz w:val="22"/>
          <w:szCs w:val="22"/>
        </w:rPr>
        <w:t xml:space="preserve"> used the</w:t>
      </w:r>
      <w:r w:rsidR="00905304">
        <w:rPr>
          <w:rFonts w:cstheme="minorHAnsi"/>
          <w:color w:val="000000" w:themeColor="text1"/>
          <w:sz w:val="22"/>
          <w:szCs w:val="22"/>
        </w:rPr>
        <w:t xml:space="preserve"> challenges they faced </w:t>
      </w:r>
      <w:r w:rsidR="00DB5BB0">
        <w:rPr>
          <w:rFonts w:cstheme="minorHAnsi"/>
          <w:color w:val="000000" w:themeColor="text1"/>
          <w:sz w:val="22"/>
          <w:szCs w:val="22"/>
        </w:rPr>
        <w:t xml:space="preserve">in carrying out their assessment plan </w:t>
      </w:r>
      <w:r w:rsidR="00CD1BDD">
        <w:rPr>
          <w:rFonts w:cstheme="minorHAnsi"/>
          <w:color w:val="000000" w:themeColor="text1"/>
          <w:sz w:val="22"/>
          <w:szCs w:val="22"/>
        </w:rPr>
        <w:t xml:space="preserve">to drive their decision-making around refining their program outcomes and associated assessment plan. </w:t>
      </w:r>
      <w:r w:rsidR="00382176">
        <w:rPr>
          <w:rFonts w:cstheme="minorHAnsi"/>
          <w:color w:val="000000" w:themeColor="text1"/>
          <w:sz w:val="22"/>
          <w:szCs w:val="22"/>
        </w:rPr>
        <w:t xml:space="preserve">Five </w:t>
      </w:r>
      <w:r w:rsidR="00C34846">
        <w:rPr>
          <w:rFonts w:cstheme="minorHAnsi"/>
          <w:color w:val="000000" w:themeColor="text1"/>
          <w:sz w:val="22"/>
          <w:szCs w:val="22"/>
        </w:rPr>
        <w:t xml:space="preserve">of </w:t>
      </w:r>
      <w:r>
        <w:rPr>
          <w:rFonts w:cstheme="minorHAnsi"/>
          <w:color w:val="000000" w:themeColor="text1"/>
          <w:sz w:val="22"/>
          <w:szCs w:val="22"/>
        </w:rPr>
        <w:t xml:space="preserve">the </w:t>
      </w:r>
      <w:r w:rsidR="00C34846">
        <w:rPr>
          <w:rFonts w:cstheme="minorHAnsi"/>
          <w:color w:val="000000" w:themeColor="text1"/>
          <w:sz w:val="22"/>
          <w:szCs w:val="22"/>
        </w:rPr>
        <w:t xml:space="preserve">programs </w:t>
      </w:r>
      <w:r>
        <w:rPr>
          <w:rFonts w:cstheme="minorHAnsi"/>
          <w:color w:val="000000" w:themeColor="text1"/>
          <w:sz w:val="22"/>
          <w:szCs w:val="22"/>
        </w:rPr>
        <w:t xml:space="preserve">that </w:t>
      </w:r>
      <w:r w:rsidR="00C34846">
        <w:rPr>
          <w:rFonts w:cstheme="minorHAnsi"/>
          <w:color w:val="000000" w:themeColor="text1"/>
          <w:sz w:val="22"/>
          <w:szCs w:val="22"/>
        </w:rPr>
        <w:t xml:space="preserve">were able to collect data indicated </w:t>
      </w:r>
      <w:r>
        <w:rPr>
          <w:rFonts w:cstheme="minorHAnsi"/>
          <w:color w:val="000000" w:themeColor="text1"/>
          <w:sz w:val="22"/>
          <w:szCs w:val="22"/>
        </w:rPr>
        <w:t xml:space="preserve">that </w:t>
      </w:r>
      <w:r w:rsidR="00C34846">
        <w:rPr>
          <w:rFonts w:cstheme="minorHAnsi"/>
          <w:color w:val="000000" w:themeColor="text1"/>
          <w:sz w:val="22"/>
          <w:szCs w:val="22"/>
        </w:rPr>
        <w:t>through that process,</w:t>
      </w:r>
      <w:r>
        <w:rPr>
          <w:rFonts w:cstheme="minorHAnsi"/>
          <w:color w:val="000000" w:themeColor="text1"/>
          <w:sz w:val="22"/>
          <w:szCs w:val="22"/>
        </w:rPr>
        <w:t xml:space="preserve"> they identified</w:t>
      </w:r>
      <w:r w:rsidR="00C34846">
        <w:rPr>
          <w:rFonts w:cstheme="minorHAnsi"/>
          <w:color w:val="000000" w:themeColor="text1"/>
          <w:sz w:val="22"/>
          <w:szCs w:val="22"/>
        </w:rPr>
        <w:t xml:space="preserve"> a need to adjust their outcomes and/or their associated assessment planning</w:t>
      </w:r>
      <w:r w:rsidR="00382176">
        <w:rPr>
          <w:rFonts w:cstheme="minorHAnsi"/>
          <w:color w:val="000000" w:themeColor="text1"/>
          <w:sz w:val="22"/>
          <w:szCs w:val="22"/>
        </w:rPr>
        <w:t>.</w:t>
      </w:r>
    </w:p>
    <w:p w14:paraId="43B669ED" w14:textId="0723BAAC" w:rsidR="00CD1BDD" w:rsidRDefault="00CD1BDD">
      <w:pPr>
        <w:rPr>
          <w:rFonts w:cstheme="minorHAnsi"/>
          <w:color w:val="000000" w:themeColor="text1"/>
          <w:sz w:val="22"/>
          <w:szCs w:val="22"/>
        </w:rPr>
      </w:pPr>
    </w:p>
    <w:p w14:paraId="40C7CC9B" w14:textId="370D11C9" w:rsidR="00E12885" w:rsidRDefault="00E12885" w:rsidP="00E1189A">
      <w:pPr>
        <w:pStyle w:val="Heading2"/>
      </w:pPr>
      <w:r>
        <w:t xml:space="preserve">Graduate programs and </w:t>
      </w:r>
      <w:r w:rsidR="00DA68A6">
        <w:t>Graduate Learning O</w:t>
      </w:r>
      <w:r>
        <w:t>utcomes</w:t>
      </w:r>
    </w:p>
    <w:p w14:paraId="0562C9B5" w14:textId="7DF0C003" w:rsidR="00E12885" w:rsidRDefault="00137346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In 2016, </w:t>
      </w:r>
      <w:r w:rsidR="004B5918">
        <w:rPr>
          <w:rFonts w:cstheme="minorHAnsi"/>
          <w:color w:val="000000" w:themeColor="text1"/>
          <w:sz w:val="22"/>
          <w:szCs w:val="22"/>
        </w:rPr>
        <w:t xml:space="preserve">the </w:t>
      </w:r>
      <w:r>
        <w:rPr>
          <w:rFonts w:cstheme="minorHAnsi"/>
          <w:color w:val="000000" w:themeColor="text1"/>
          <w:sz w:val="22"/>
          <w:szCs w:val="22"/>
        </w:rPr>
        <w:t xml:space="preserve">Graduate Studies committee identified the </w:t>
      </w:r>
      <w:r w:rsidR="004B5918" w:rsidRPr="004B5918">
        <w:rPr>
          <w:rFonts w:cstheme="minorHAnsi"/>
          <w:color w:val="000000" w:themeColor="text1"/>
          <w:sz w:val="22"/>
          <w:szCs w:val="22"/>
        </w:rPr>
        <w:t>Degree Qualifications Profile (DQP)</w:t>
      </w:r>
      <w:r w:rsidR="004B5918" w:rsidRPr="004B5918" w:rsidDel="004B5918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>model as a potential one for assessment of Graduate Learning Outcomes. No graduate programs submitting reports</w:t>
      </w:r>
      <w:r w:rsidR="004B5918">
        <w:rPr>
          <w:rFonts w:cstheme="minorHAnsi"/>
          <w:color w:val="000000" w:themeColor="text1"/>
          <w:sz w:val="22"/>
          <w:szCs w:val="22"/>
        </w:rPr>
        <w:t xml:space="preserve"> for 2017-18</w:t>
      </w:r>
      <w:r>
        <w:rPr>
          <w:rFonts w:cstheme="minorHAnsi"/>
          <w:color w:val="000000" w:themeColor="text1"/>
          <w:sz w:val="22"/>
          <w:szCs w:val="22"/>
        </w:rPr>
        <w:t xml:space="preserve"> identified </w:t>
      </w:r>
      <w:r w:rsidR="008B07A3">
        <w:rPr>
          <w:rFonts w:cstheme="minorHAnsi"/>
          <w:color w:val="000000" w:themeColor="text1"/>
          <w:sz w:val="22"/>
          <w:szCs w:val="22"/>
        </w:rPr>
        <w:t xml:space="preserve">explicit </w:t>
      </w:r>
      <w:r>
        <w:rPr>
          <w:rFonts w:cstheme="minorHAnsi"/>
          <w:color w:val="000000" w:themeColor="text1"/>
          <w:sz w:val="22"/>
          <w:szCs w:val="22"/>
        </w:rPr>
        <w:t>alignment</w:t>
      </w:r>
      <w:r w:rsidR="00DF2BE0">
        <w:rPr>
          <w:rFonts w:cstheme="minorHAnsi"/>
          <w:color w:val="000000" w:themeColor="text1"/>
          <w:sz w:val="22"/>
          <w:szCs w:val="22"/>
        </w:rPr>
        <w:t xml:space="preserve"> to </w:t>
      </w:r>
      <w:r w:rsidR="008B07A3">
        <w:rPr>
          <w:rFonts w:cstheme="minorHAnsi"/>
          <w:color w:val="000000" w:themeColor="text1"/>
          <w:sz w:val="22"/>
          <w:szCs w:val="22"/>
        </w:rPr>
        <w:t xml:space="preserve">any element of </w:t>
      </w:r>
      <w:r w:rsidR="00DF2BE0">
        <w:rPr>
          <w:rFonts w:cstheme="minorHAnsi"/>
          <w:color w:val="000000" w:themeColor="text1"/>
          <w:sz w:val="22"/>
          <w:szCs w:val="22"/>
        </w:rPr>
        <w:t>the DQP framework</w:t>
      </w:r>
      <w:r w:rsidR="00723507">
        <w:rPr>
          <w:rFonts w:cstheme="minorHAnsi"/>
          <w:color w:val="000000" w:themeColor="text1"/>
          <w:sz w:val="22"/>
          <w:szCs w:val="22"/>
        </w:rPr>
        <w:t>.</w:t>
      </w:r>
      <w:r w:rsidR="00DF2BE0">
        <w:rPr>
          <w:rFonts w:cstheme="minorHAnsi"/>
          <w:color w:val="000000" w:themeColor="text1"/>
          <w:sz w:val="22"/>
          <w:szCs w:val="22"/>
        </w:rPr>
        <w:t xml:space="preserve"> </w:t>
      </w:r>
      <w:r w:rsidR="00AF1F81">
        <w:rPr>
          <w:rFonts w:cstheme="minorHAnsi"/>
          <w:color w:val="000000" w:themeColor="text1"/>
          <w:sz w:val="22"/>
          <w:szCs w:val="22"/>
        </w:rPr>
        <w:t>For the majority of Graduate programs and certificates</w:t>
      </w:r>
      <w:r w:rsidR="004B5918">
        <w:rPr>
          <w:rFonts w:cstheme="minorHAnsi"/>
          <w:color w:val="000000" w:themeColor="text1"/>
          <w:sz w:val="22"/>
          <w:szCs w:val="22"/>
        </w:rPr>
        <w:t>,</w:t>
      </w:r>
      <w:r w:rsidR="00AF1F81">
        <w:rPr>
          <w:rFonts w:cstheme="minorHAnsi"/>
          <w:color w:val="000000" w:themeColor="text1"/>
          <w:sz w:val="22"/>
          <w:szCs w:val="22"/>
        </w:rPr>
        <w:t xml:space="preserve"> professional credentials or </w:t>
      </w:r>
      <w:r w:rsidR="00DA68A6">
        <w:rPr>
          <w:rFonts w:cstheme="minorHAnsi"/>
          <w:color w:val="000000" w:themeColor="text1"/>
          <w:sz w:val="22"/>
          <w:szCs w:val="22"/>
        </w:rPr>
        <w:t>external accreditation standards were identified as paramount</w:t>
      </w:r>
      <w:r w:rsidR="004B5918">
        <w:rPr>
          <w:rFonts w:cstheme="minorHAnsi"/>
          <w:color w:val="000000" w:themeColor="text1"/>
          <w:sz w:val="22"/>
          <w:szCs w:val="22"/>
        </w:rPr>
        <w:t xml:space="preserve"> measures</w:t>
      </w:r>
      <w:r w:rsidR="00DA68A6">
        <w:rPr>
          <w:rFonts w:cstheme="minorHAnsi"/>
          <w:color w:val="000000" w:themeColor="text1"/>
          <w:sz w:val="22"/>
          <w:szCs w:val="22"/>
        </w:rPr>
        <w:t xml:space="preserve">. </w:t>
      </w:r>
      <w:r w:rsidR="00B42A31">
        <w:rPr>
          <w:rFonts w:cstheme="minorHAnsi"/>
          <w:color w:val="000000" w:themeColor="text1"/>
          <w:sz w:val="22"/>
          <w:szCs w:val="22"/>
        </w:rPr>
        <w:t>One graduate</w:t>
      </w:r>
      <w:r w:rsidR="00DA68A6">
        <w:rPr>
          <w:rFonts w:cstheme="minorHAnsi"/>
          <w:color w:val="000000" w:themeColor="text1"/>
          <w:sz w:val="22"/>
          <w:szCs w:val="22"/>
        </w:rPr>
        <w:t xml:space="preserve"> program noted that they would no longer </w:t>
      </w:r>
      <w:r w:rsidR="004B5918">
        <w:rPr>
          <w:rFonts w:cstheme="minorHAnsi"/>
          <w:color w:val="000000" w:themeColor="text1"/>
          <w:sz w:val="22"/>
          <w:szCs w:val="22"/>
        </w:rPr>
        <w:t xml:space="preserve">be </w:t>
      </w:r>
      <w:r w:rsidR="00DA68A6">
        <w:rPr>
          <w:rFonts w:cstheme="minorHAnsi"/>
          <w:color w:val="000000" w:themeColor="text1"/>
          <w:sz w:val="22"/>
          <w:szCs w:val="22"/>
        </w:rPr>
        <w:t xml:space="preserve">accredited by </w:t>
      </w:r>
      <w:r w:rsidR="00B42A31">
        <w:rPr>
          <w:rFonts w:cstheme="minorHAnsi"/>
          <w:color w:val="000000" w:themeColor="text1"/>
          <w:sz w:val="22"/>
          <w:szCs w:val="22"/>
        </w:rPr>
        <w:t>an external accreditor</w:t>
      </w:r>
      <w:r w:rsidR="00DA68A6">
        <w:rPr>
          <w:rFonts w:cstheme="minorHAnsi"/>
          <w:color w:val="000000" w:themeColor="text1"/>
          <w:sz w:val="22"/>
          <w:szCs w:val="22"/>
        </w:rPr>
        <w:t xml:space="preserve"> and</w:t>
      </w:r>
      <w:r w:rsidR="004B5918">
        <w:rPr>
          <w:rFonts w:cstheme="minorHAnsi"/>
          <w:color w:val="000000" w:themeColor="text1"/>
          <w:sz w:val="22"/>
          <w:szCs w:val="22"/>
        </w:rPr>
        <w:t xml:space="preserve"> would be</w:t>
      </w:r>
      <w:r w:rsidR="00DA68A6">
        <w:rPr>
          <w:rFonts w:cstheme="minorHAnsi"/>
          <w:color w:val="000000" w:themeColor="text1"/>
          <w:sz w:val="22"/>
          <w:szCs w:val="22"/>
        </w:rPr>
        <w:t xml:space="preserve"> developing a</w:t>
      </w:r>
      <w:r w:rsidR="00E12885">
        <w:rPr>
          <w:rFonts w:cstheme="minorHAnsi"/>
          <w:color w:val="000000" w:themeColor="text1"/>
          <w:sz w:val="22"/>
          <w:szCs w:val="22"/>
        </w:rPr>
        <w:t xml:space="preserve"> </w:t>
      </w:r>
      <w:r w:rsidR="00F356F6">
        <w:rPr>
          <w:rFonts w:cstheme="minorHAnsi"/>
          <w:color w:val="000000" w:themeColor="text1"/>
          <w:sz w:val="22"/>
          <w:szCs w:val="22"/>
        </w:rPr>
        <w:t>new assessment plan.</w:t>
      </w:r>
      <w:r w:rsidR="00DA68A6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0144F827" w14:textId="77777777" w:rsidR="00E12885" w:rsidRDefault="00E12885">
      <w:pPr>
        <w:rPr>
          <w:rFonts w:cstheme="minorHAnsi"/>
          <w:color w:val="000000" w:themeColor="text1"/>
          <w:sz w:val="22"/>
          <w:szCs w:val="22"/>
        </w:rPr>
      </w:pPr>
    </w:p>
    <w:p w14:paraId="185A6FB4" w14:textId="18F92958" w:rsidR="00E12885" w:rsidRDefault="00E12885" w:rsidP="00E1189A">
      <w:pPr>
        <w:pStyle w:val="Heading2"/>
      </w:pPr>
      <w:r>
        <w:t xml:space="preserve">Undergraduate programs and </w:t>
      </w:r>
      <w:r w:rsidR="00DA68A6">
        <w:t>Undergraduate Learning O</w:t>
      </w:r>
      <w:r>
        <w:t>utcomes</w:t>
      </w:r>
    </w:p>
    <w:p w14:paraId="7044D283" w14:textId="7D524E34" w:rsidR="00701BD7" w:rsidRDefault="00184DAA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Based upon a review of assessment instruments (or the description of the instrument if the instrument itself was not provided) and the data presented, t</w:t>
      </w:r>
      <w:r w:rsidR="00CD1BDD">
        <w:rPr>
          <w:rFonts w:cstheme="minorHAnsi"/>
          <w:color w:val="000000" w:themeColor="text1"/>
          <w:sz w:val="22"/>
          <w:szCs w:val="22"/>
        </w:rPr>
        <w:t>he majority of</w:t>
      </w:r>
      <w:r w:rsidR="00277BE2">
        <w:rPr>
          <w:rFonts w:cstheme="minorHAnsi"/>
          <w:color w:val="000000" w:themeColor="text1"/>
          <w:sz w:val="22"/>
          <w:szCs w:val="22"/>
        </w:rPr>
        <w:t xml:space="preserve"> undergraduate</w:t>
      </w:r>
      <w:r w:rsidR="00CD1BDD">
        <w:rPr>
          <w:rFonts w:cstheme="minorHAnsi"/>
          <w:color w:val="000000" w:themeColor="text1"/>
          <w:sz w:val="22"/>
          <w:szCs w:val="22"/>
        </w:rPr>
        <w:t xml:space="preserve"> programs </w:t>
      </w:r>
      <w:r w:rsidR="00277BE2">
        <w:rPr>
          <w:rFonts w:cstheme="minorHAnsi"/>
          <w:color w:val="000000" w:themeColor="text1"/>
          <w:sz w:val="22"/>
          <w:szCs w:val="22"/>
        </w:rPr>
        <w:t>(</w:t>
      </w:r>
      <w:r w:rsidR="00B70D93">
        <w:rPr>
          <w:rFonts w:cstheme="minorHAnsi"/>
          <w:color w:val="000000" w:themeColor="text1"/>
          <w:sz w:val="22"/>
          <w:szCs w:val="22"/>
        </w:rPr>
        <w:t>Table 2</w:t>
      </w:r>
      <w:r w:rsidR="00277BE2">
        <w:rPr>
          <w:rFonts w:cstheme="minorHAnsi"/>
          <w:color w:val="000000" w:themeColor="text1"/>
          <w:sz w:val="22"/>
          <w:szCs w:val="22"/>
        </w:rPr>
        <w:t xml:space="preserve">) </w:t>
      </w:r>
      <w:r w:rsidR="00CD1BDD">
        <w:rPr>
          <w:rFonts w:cstheme="minorHAnsi"/>
          <w:color w:val="000000" w:themeColor="text1"/>
          <w:sz w:val="22"/>
          <w:szCs w:val="22"/>
        </w:rPr>
        <w:t xml:space="preserve">did not </w:t>
      </w:r>
      <w:r w:rsidR="004B5918">
        <w:rPr>
          <w:rFonts w:cstheme="minorHAnsi"/>
          <w:color w:val="000000" w:themeColor="text1"/>
          <w:sz w:val="22"/>
          <w:szCs w:val="22"/>
        </w:rPr>
        <w:t xml:space="preserve">either </w:t>
      </w:r>
      <w:r w:rsidR="008B07A3">
        <w:rPr>
          <w:rFonts w:cstheme="minorHAnsi"/>
          <w:color w:val="000000" w:themeColor="text1"/>
          <w:sz w:val="22"/>
          <w:szCs w:val="22"/>
        </w:rPr>
        <w:t xml:space="preserve">explicitly </w:t>
      </w:r>
      <w:r w:rsidR="00CD1BDD">
        <w:rPr>
          <w:rFonts w:cstheme="minorHAnsi"/>
          <w:color w:val="000000" w:themeColor="text1"/>
          <w:sz w:val="22"/>
          <w:szCs w:val="22"/>
        </w:rPr>
        <w:t xml:space="preserve">describe efforts to </w:t>
      </w:r>
      <w:r w:rsidR="00305F31">
        <w:rPr>
          <w:rFonts w:cstheme="minorHAnsi"/>
          <w:color w:val="000000" w:themeColor="text1"/>
          <w:sz w:val="22"/>
          <w:szCs w:val="22"/>
        </w:rPr>
        <w:t xml:space="preserve">specifically address </w:t>
      </w:r>
      <w:r w:rsidR="00E12885">
        <w:rPr>
          <w:rFonts w:cstheme="minorHAnsi"/>
          <w:color w:val="000000" w:themeColor="text1"/>
          <w:sz w:val="22"/>
          <w:szCs w:val="22"/>
        </w:rPr>
        <w:t xml:space="preserve">Undergraduate </w:t>
      </w:r>
      <w:r w:rsidR="00305F31">
        <w:rPr>
          <w:rFonts w:cstheme="minorHAnsi"/>
          <w:color w:val="000000" w:themeColor="text1"/>
          <w:sz w:val="22"/>
          <w:szCs w:val="22"/>
        </w:rPr>
        <w:t>Learning Outcomes</w:t>
      </w:r>
      <w:r w:rsidR="004837CA">
        <w:rPr>
          <w:rFonts w:cstheme="minorHAnsi"/>
          <w:color w:val="000000" w:themeColor="text1"/>
          <w:sz w:val="22"/>
          <w:szCs w:val="22"/>
        </w:rPr>
        <w:t xml:space="preserve"> (ULOs)</w:t>
      </w:r>
      <w:r w:rsidR="00305F31">
        <w:rPr>
          <w:rFonts w:cstheme="minorHAnsi"/>
          <w:color w:val="000000" w:themeColor="text1"/>
          <w:sz w:val="22"/>
          <w:szCs w:val="22"/>
        </w:rPr>
        <w:t xml:space="preserve"> or </w:t>
      </w:r>
      <w:r w:rsidR="00EB78E7">
        <w:rPr>
          <w:rFonts w:cstheme="minorHAnsi"/>
          <w:color w:val="000000" w:themeColor="text1"/>
          <w:sz w:val="22"/>
          <w:szCs w:val="22"/>
        </w:rPr>
        <w:t>articulate</w:t>
      </w:r>
      <w:r w:rsidR="00305F31">
        <w:rPr>
          <w:rFonts w:cstheme="minorHAnsi"/>
          <w:color w:val="000000" w:themeColor="text1"/>
          <w:sz w:val="22"/>
          <w:szCs w:val="22"/>
        </w:rPr>
        <w:t xml:space="preserve"> programmatic</w:t>
      </w:r>
      <w:r w:rsidR="00CD1BDD">
        <w:rPr>
          <w:rFonts w:cstheme="minorHAnsi"/>
          <w:color w:val="000000" w:themeColor="text1"/>
          <w:sz w:val="22"/>
          <w:szCs w:val="22"/>
        </w:rPr>
        <w:t xml:space="preserve"> thinking around </w:t>
      </w:r>
      <w:r w:rsidR="00905BF5">
        <w:rPr>
          <w:rFonts w:cstheme="minorHAnsi"/>
          <w:color w:val="000000" w:themeColor="text1"/>
          <w:sz w:val="22"/>
          <w:szCs w:val="22"/>
        </w:rPr>
        <w:t xml:space="preserve">their alignment to </w:t>
      </w:r>
      <w:r w:rsidR="004837CA">
        <w:rPr>
          <w:rFonts w:cstheme="minorHAnsi"/>
          <w:color w:val="000000" w:themeColor="text1"/>
          <w:sz w:val="22"/>
          <w:szCs w:val="22"/>
        </w:rPr>
        <w:t>ULOs</w:t>
      </w:r>
      <w:r w:rsidR="00905BF5">
        <w:rPr>
          <w:rFonts w:cstheme="minorHAnsi"/>
          <w:color w:val="000000" w:themeColor="text1"/>
          <w:sz w:val="22"/>
          <w:szCs w:val="22"/>
        </w:rPr>
        <w:t xml:space="preserve">. A handful of programs identified direct or adapted use of one of the rubrics associated with a </w:t>
      </w:r>
      <w:r w:rsidR="004837CA">
        <w:rPr>
          <w:rFonts w:cstheme="minorHAnsi"/>
          <w:color w:val="000000" w:themeColor="text1"/>
          <w:sz w:val="22"/>
          <w:szCs w:val="22"/>
        </w:rPr>
        <w:t>ULO</w:t>
      </w:r>
      <w:r w:rsidR="00277BE2">
        <w:rPr>
          <w:rFonts w:cstheme="minorHAnsi"/>
          <w:color w:val="000000" w:themeColor="text1"/>
          <w:sz w:val="22"/>
          <w:szCs w:val="22"/>
        </w:rPr>
        <w:t>, primarily Inquiry and Analysis</w:t>
      </w:r>
      <w:r w:rsidR="00A17D23">
        <w:rPr>
          <w:rFonts w:cstheme="minorHAnsi"/>
          <w:color w:val="000000" w:themeColor="text1"/>
          <w:sz w:val="22"/>
          <w:szCs w:val="22"/>
        </w:rPr>
        <w:t>.</w:t>
      </w:r>
      <w:r w:rsidR="00905BF5">
        <w:rPr>
          <w:rFonts w:cstheme="minorHAnsi"/>
          <w:color w:val="000000" w:themeColor="text1"/>
          <w:sz w:val="22"/>
          <w:szCs w:val="22"/>
        </w:rPr>
        <w:t xml:space="preserve"> </w:t>
      </w:r>
      <w:r w:rsidR="00766563">
        <w:rPr>
          <w:rFonts w:cstheme="minorHAnsi"/>
          <w:color w:val="000000" w:themeColor="text1"/>
          <w:sz w:val="22"/>
          <w:szCs w:val="22"/>
        </w:rPr>
        <w:t xml:space="preserve">The majority of programs </w:t>
      </w:r>
      <w:r w:rsidR="00047F4C">
        <w:rPr>
          <w:rFonts w:cstheme="minorHAnsi"/>
          <w:color w:val="000000" w:themeColor="text1"/>
          <w:sz w:val="22"/>
          <w:szCs w:val="22"/>
        </w:rPr>
        <w:t xml:space="preserve">articulated aspirations or strategies for collecting data that implied some form of connection to a </w:t>
      </w:r>
      <w:r w:rsidR="004837CA">
        <w:rPr>
          <w:rFonts w:cstheme="minorHAnsi"/>
          <w:color w:val="000000" w:themeColor="text1"/>
          <w:sz w:val="22"/>
          <w:szCs w:val="22"/>
        </w:rPr>
        <w:t>ULO</w:t>
      </w:r>
      <w:r w:rsidR="00B3343A">
        <w:rPr>
          <w:rFonts w:cstheme="minorHAnsi"/>
          <w:color w:val="000000" w:themeColor="text1"/>
          <w:sz w:val="22"/>
          <w:szCs w:val="22"/>
        </w:rPr>
        <w:t xml:space="preserve"> without actually identifying an outcome or providing a clear strategy for alignment</w:t>
      </w:r>
      <w:r w:rsidR="00047F4C">
        <w:rPr>
          <w:rFonts w:cstheme="minorHAnsi"/>
          <w:color w:val="000000" w:themeColor="text1"/>
          <w:sz w:val="22"/>
          <w:szCs w:val="22"/>
        </w:rPr>
        <w:t xml:space="preserve">. </w:t>
      </w:r>
      <w:r w:rsidR="00A17D23">
        <w:rPr>
          <w:rFonts w:cstheme="minorHAnsi"/>
          <w:color w:val="000000" w:themeColor="text1"/>
          <w:sz w:val="22"/>
          <w:szCs w:val="22"/>
        </w:rPr>
        <w:t xml:space="preserve">Only three programs had reports that did not </w:t>
      </w:r>
      <w:r w:rsidR="00A17D23">
        <w:rPr>
          <w:rFonts w:cstheme="minorHAnsi"/>
          <w:color w:val="000000" w:themeColor="text1"/>
          <w:sz w:val="22"/>
          <w:szCs w:val="22"/>
        </w:rPr>
        <w:lastRenderedPageBreak/>
        <w:t xml:space="preserve">provide </w:t>
      </w:r>
      <w:r w:rsidR="004837CA">
        <w:rPr>
          <w:rFonts w:cstheme="minorHAnsi"/>
          <w:color w:val="000000" w:themeColor="text1"/>
          <w:sz w:val="22"/>
          <w:szCs w:val="22"/>
        </w:rPr>
        <w:t xml:space="preserve">either an explicit or </w:t>
      </w:r>
      <w:r w:rsidR="00A17D23">
        <w:rPr>
          <w:rFonts w:cstheme="minorHAnsi"/>
          <w:color w:val="000000" w:themeColor="text1"/>
          <w:sz w:val="22"/>
          <w:szCs w:val="22"/>
        </w:rPr>
        <w:t xml:space="preserve">implicit </w:t>
      </w:r>
      <w:r w:rsidR="00701BD7">
        <w:rPr>
          <w:rFonts w:cstheme="minorHAnsi"/>
          <w:color w:val="000000" w:themeColor="text1"/>
          <w:sz w:val="22"/>
          <w:szCs w:val="22"/>
        </w:rPr>
        <w:t xml:space="preserve">connection to a </w:t>
      </w:r>
      <w:r w:rsidR="004837CA">
        <w:rPr>
          <w:rFonts w:cstheme="minorHAnsi"/>
          <w:color w:val="000000" w:themeColor="text1"/>
          <w:sz w:val="22"/>
          <w:szCs w:val="22"/>
        </w:rPr>
        <w:t>ULO,</w:t>
      </w:r>
      <w:r w:rsidR="00701BD7">
        <w:rPr>
          <w:rFonts w:cstheme="minorHAnsi"/>
          <w:color w:val="000000" w:themeColor="text1"/>
          <w:sz w:val="22"/>
          <w:szCs w:val="22"/>
        </w:rPr>
        <w:t xml:space="preserve"> based upon the description of the assessment data. The majority of undergraduate programs provided language that could be construed as aligning to at least one </w:t>
      </w:r>
      <w:r w:rsidR="004837CA">
        <w:rPr>
          <w:rFonts w:cstheme="minorHAnsi"/>
          <w:color w:val="000000" w:themeColor="text1"/>
          <w:sz w:val="22"/>
          <w:szCs w:val="22"/>
        </w:rPr>
        <w:t>ULO</w:t>
      </w:r>
      <w:r w:rsidR="00701BD7">
        <w:rPr>
          <w:rFonts w:cstheme="minorHAnsi"/>
          <w:color w:val="000000" w:themeColor="text1"/>
          <w:sz w:val="22"/>
          <w:szCs w:val="22"/>
        </w:rPr>
        <w:t xml:space="preserve">, but did not describe any deliberate effort to align with or collect assessment data in support of a </w:t>
      </w:r>
      <w:r w:rsidR="004837CA">
        <w:rPr>
          <w:rFonts w:cstheme="minorHAnsi"/>
          <w:color w:val="000000" w:themeColor="text1"/>
          <w:sz w:val="22"/>
          <w:szCs w:val="22"/>
        </w:rPr>
        <w:t>ULO</w:t>
      </w:r>
      <w:r w:rsidR="00701BD7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3D715FC5" w14:textId="635A34F8" w:rsidR="00BA7039" w:rsidRDefault="00BA7039">
      <w:pPr>
        <w:rPr>
          <w:rFonts w:cstheme="minorHAnsi"/>
          <w:color w:val="000000" w:themeColor="text1"/>
          <w:sz w:val="22"/>
          <w:szCs w:val="22"/>
        </w:rPr>
      </w:pPr>
    </w:p>
    <w:p w14:paraId="16AEFEDD" w14:textId="7775D1AB" w:rsidR="00D745B1" w:rsidRPr="00F72CDD" w:rsidRDefault="00D745B1">
      <w:pPr>
        <w:rPr>
          <w:rFonts w:cstheme="minorHAnsi"/>
          <w:color w:val="000000" w:themeColor="text1"/>
          <w:sz w:val="20"/>
          <w:szCs w:val="20"/>
        </w:rPr>
      </w:pPr>
      <w:r w:rsidRPr="00F72CDD">
        <w:rPr>
          <w:rFonts w:cstheme="minorHAnsi"/>
          <w:color w:val="000000" w:themeColor="text1"/>
          <w:sz w:val="20"/>
          <w:szCs w:val="20"/>
        </w:rPr>
        <w:t xml:space="preserve">Table 2: Alignment to Undergraduate Learning Outcomes. </w:t>
      </w:r>
      <w:r w:rsidRPr="00153916">
        <w:rPr>
          <w:rFonts w:cstheme="minorHAnsi"/>
          <w:i/>
          <w:color w:val="000000" w:themeColor="text1"/>
          <w:sz w:val="20"/>
          <w:szCs w:val="20"/>
        </w:rPr>
        <w:t>Explicit alignment</w:t>
      </w:r>
      <w:r w:rsidRPr="00F72CDD">
        <w:rPr>
          <w:rFonts w:cstheme="minorHAnsi"/>
          <w:color w:val="000000" w:themeColor="text1"/>
          <w:sz w:val="20"/>
          <w:szCs w:val="20"/>
        </w:rPr>
        <w:t xml:space="preserve"> describes programs that </w:t>
      </w:r>
      <w:r w:rsidR="005E1BCA" w:rsidRPr="00F72CDD">
        <w:rPr>
          <w:rFonts w:cstheme="minorHAnsi"/>
          <w:color w:val="000000" w:themeColor="text1"/>
          <w:sz w:val="20"/>
          <w:szCs w:val="20"/>
        </w:rPr>
        <w:t xml:space="preserve">clearly and purposefully identified how their program learning outcome and associated assessment of that outcome aligned to a </w:t>
      </w:r>
      <w:r w:rsidR="004837CA" w:rsidRPr="004837CA">
        <w:rPr>
          <w:rFonts w:cstheme="minorHAnsi"/>
          <w:color w:val="000000" w:themeColor="text1"/>
          <w:sz w:val="20"/>
          <w:szCs w:val="20"/>
        </w:rPr>
        <w:t>ULO</w:t>
      </w:r>
      <w:r w:rsidR="005E1BCA" w:rsidRPr="00F72CDD">
        <w:rPr>
          <w:rFonts w:cstheme="minorHAnsi"/>
          <w:color w:val="000000" w:themeColor="text1"/>
          <w:sz w:val="20"/>
          <w:szCs w:val="20"/>
        </w:rPr>
        <w:t xml:space="preserve">. </w:t>
      </w:r>
      <w:r w:rsidR="005E1BCA" w:rsidRPr="00153916">
        <w:rPr>
          <w:rFonts w:cstheme="minorHAnsi"/>
          <w:i/>
          <w:color w:val="000000" w:themeColor="text1"/>
          <w:sz w:val="20"/>
          <w:szCs w:val="20"/>
        </w:rPr>
        <w:t>Implicit alignment</w:t>
      </w:r>
      <w:r w:rsidR="005E1BCA" w:rsidRPr="00F72CDD">
        <w:rPr>
          <w:rFonts w:cstheme="minorHAnsi"/>
          <w:color w:val="000000" w:themeColor="text1"/>
          <w:sz w:val="20"/>
          <w:szCs w:val="20"/>
        </w:rPr>
        <w:t xml:space="preserve"> describes programs that</w:t>
      </w:r>
      <w:r w:rsidR="00165617" w:rsidRPr="00F72CDD">
        <w:rPr>
          <w:rFonts w:cstheme="minorHAnsi"/>
          <w:color w:val="000000" w:themeColor="text1"/>
          <w:sz w:val="20"/>
          <w:szCs w:val="20"/>
        </w:rPr>
        <w:t xml:space="preserve"> included a description that could be construed to align to a </w:t>
      </w:r>
      <w:r w:rsidR="004837CA" w:rsidRPr="004837CA">
        <w:rPr>
          <w:rFonts w:cstheme="minorHAnsi"/>
          <w:color w:val="000000" w:themeColor="text1"/>
          <w:sz w:val="20"/>
          <w:szCs w:val="20"/>
        </w:rPr>
        <w:t>ULO</w:t>
      </w:r>
      <w:r w:rsidR="004837CA">
        <w:rPr>
          <w:rFonts w:cstheme="minorHAnsi"/>
          <w:color w:val="000000" w:themeColor="text1"/>
          <w:sz w:val="20"/>
          <w:szCs w:val="20"/>
        </w:rPr>
        <w:t>,</w:t>
      </w:r>
      <w:r w:rsidR="00165617" w:rsidRPr="00F72CDD">
        <w:rPr>
          <w:rFonts w:cstheme="minorHAnsi"/>
          <w:color w:val="000000" w:themeColor="text1"/>
          <w:sz w:val="20"/>
          <w:szCs w:val="20"/>
        </w:rPr>
        <w:t xml:space="preserve"> </w:t>
      </w:r>
      <w:r w:rsidR="004837CA">
        <w:rPr>
          <w:rFonts w:cstheme="minorHAnsi"/>
          <w:color w:val="000000" w:themeColor="text1"/>
          <w:sz w:val="20"/>
          <w:szCs w:val="20"/>
        </w:rPr>
        <w:t xml:space="preserve">but </w:t>
      </w:r>
      <w:r w:rsidR="00165617" w:rsidRPr="00F72CDD">
        <w:rPr>
          <w:rFonts w:cstheme="minorHAnsi"/>
          <w:color w:val="000000" w:themeColor="text1"/>
          <w:sz w:val="20"/>
          <w:szCs w:val="20"/>
        </w:rPr>
        <w:t xml:space="preserve">without clearly and purposefully identifying that Outcome. </w:t>
      </w:r>
    </w:p>
    <w:p w14:paraId="254D2B13" w14:textId="153A050E" w:rsidR="0034147A" w:rsidRPr="00F72CDD" w:rsidRDefault="0034147A">
      <w:pPr>
        <w:rPr>
          <w:rFonts w:cstheme="minorHAnsi"/>
          <w:color w:val="000000" w:themeColor="text1"/>
          <w:sz w:val="20"/>
          <w:szCs w:val="20"/>
        </w:rPr>
      </w:pPr>
      <w:r w:rsidRPr="00F72CDD">
        <w:rPr>
          <w:rFonts w:cstheme="minorHAnsi"/>
          <w:color w:val="000000" w:themeColor="text1"/>
          <w:sz w:val="20"/>
          <w:szCs w:val="20"/>
        </w:rPr>
        <w:t xml:space="preserve">NA = Not applied, W = Written Communication, QL = Quantitative Literacy, IA = Inquiry and Analysis, IL = Integrative Learning, DGL = Diversity and Global Learning.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966"/>
        <w:gridCol w:w="615"/>
        <w:gridCol w:w="615"/>
        <w:gridCol w:w="616"/>
        <w:gridCol w:w="615"/>
        <w:gridCol w:w="615"/>
        <w:gridCol w:w="616"/>
        <w:gridCol w:w="615"/>
        <w:gridCol w:w="615"/>
        <w:gridCol w:w="616"/>
        <w:gridCol w:w="615"/>
        <w:gridCol w:w="615"/>
        <w:gridCol w:w="616"/>
      </w:tblGrid>
      <w:tr w:rsidR="00E858B9" w14:paraId="55C4B8BA" w14:textId="77777777" w:rsidTr="00F11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07959CE6" w14:textId="33615086" w:rsidR="008B07A3" w:rsidRDefault="00530A6F" w:rsidP="00B9315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Alignment to ULOs</w:t>
            </w:r>
          </w:p>
        </w:tc>
        <w:tc>
          <w:tcPr>
            <w:tcW w:w="3692" w:type="dxa"/>
            <w:gridSpan w:val="6"/>
          </w:tcPr>
          <w:p w14:paraId="11B0CE6B" w14:textId="77777777" w:rsidR="008B07A3" w:rsidRDefault="008B07A3" w:rsidP="00B931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Explicit alignment to ULO</w:t>
            </w:r>
          </w:p>
        </w:tc>
        <w:tc>
          <w:tcPr>
            <w:tcW w:w="3692" w:type="dxa"/>
            <w:gridSpan w:val="6"/>
          </w:tcPr>
          <w:p w14:paraId="46EB8E73" w14:textId="19A562E1" w:rsidR="008B07A3" w:rsidRDefault="00042199" w:rsidP="00B931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Implicit</w:t>
            </w:r>
            <w:r w:rsidR="008B07A3">
              <w:rPr>
                <w:rFonts w:cstheme="minorHAnsi"/>
                <w:color w:val="000000" w:themeColor="text1"/>
                <w:sz w:val="22"/>
                <w:szCs w:val="22"/>
              </w:rPr>
              <w:t xml:space="preserve"> Alignment to ULO</w:t>
            </w:r>
          </w:p>
        </w:tc>
      </w:tr>
      <w:tr w:rsidR="00373600" w14:paraId="5956616C" w14:textId="77777777" w:rsidTr="00F1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76EFA76F" w14:textId="240862C5" w:rsidR="008B07A3" w:rsidRDefault="004837CA" w:rsidP="00B9315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837CA">
              <w:rPr>
                <w:rFonts w:cstheme="minorHAnsi"/>
                <w:color w:val="000000" w:themeColor="text1"/>
                <w:sz w:val="22"/>
                <w:szCs w:val="22"/>
              </w:rPr>
              <w:t>ULO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615" w:type="dxa"/>
          </w:tcPr>
          <w:p w14:paraId="62F754CB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NA</w:t>
            </w:r>
          </w:p>
        </w:tc>
        <w:tc>
          <w:tcPr>
            <w:tcW w:w="615" w:type="dxa"/>
          </w:tcPr>
          <w:p w14:paraId="457CD92C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616" w:type="dxa"/>
          </w:tcPr>
          <w:p w14:paraId="61A43643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QL</w:t>
            </w:r>
          </w:p>
        </w:tc>
        <w:tc>
          <w:tcPr>
            <w:tcW w:w="615" w:type="dxa"/>
          </w:tcPr>
          <w:p w14:paraId="73C29AE7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IA</w:t>
            </w:r>
          </w:p>
        </w:tc>
        <w:tc>
          <w:tcPr>
            <w:tcW w:w="615" w:type="dxa"/>
          </w:tcPr>
          <w:p w14:paraId="0BBD85B5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IL</w:t>
            </w:r>
          </w:p>
        </w:tc>
        <w:tc>
          <w:tcPr>
            <w:tcW w:w="616" w:type="dxa"/>
          </w:tcPr>
          <w:p w14:paraId="00BF38EA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DGL</w:t>
            </w:r>
          </w:p>
        </w:tc>
        <w:tc>
          <w:tcPr>
            <w:tcW w:w="615" w:type="dxa"/>
          </w:tcPr>
          <w:p w14:paraId="42F71969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NA</w:t>
            </w:r>
          </w:p>
        </w:tc>
        <w:tc>
          <w:tcPr>
            <w:tcW w:w="615" w:type="dxa"/>
          </w:tcPr>
          <w:p w14:paraId="1C96B806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616" w:type="dxa"/>
          </w:tcPr>
          <w:p w14:paraId="5D1E8C2E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QL</w:t>
            </w:r>
          </w:p>
        </w:tc>
        <w:tc>
          <w:tcPr>
            <w:tcW w:w="615" w:type="dxa"/>
          </w:tcPr>
          <w:p w14:paraId="77F49DEB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IA</w:t>
            </w:r>
          </w:p>
        </w:tc>
        <w:tc>
          <w:tcPr>
            <w:tcW w:w="615" w:type="dxa"/>
          </w:tcPr>
          <w:p w14:paraId="7E5B3F12" w14:textId="4D65A9A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IL</w:t>
            </w:r>
          </w:p>
        </w:tc>
        <w:tc>
          <w:tcPr>
            <w:tcW w:w="616" w:type="dxa"/>
          </w:tcPr>
          <w:p w14:paraId="0D8F9BBD" w14:textId="77777777" w:rsidR="008B07A3" w:rsidRDefault="008B07A3" w:rsidP="00D431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DGL</w:t>
            </w:r>
          </w:p>
        </w:tc>
      </w:tr>
      <w:tr w:rsidR="00F11CFB" w14:paraId="603D779C" w14:textId="77777777" w:rsidTr="00F1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14:paraId="61E45C2D" w14:textId="21ED1087" w:rsidR="008B07A3" w:rsidRDefault="00701BD7" w:rsidP="00B9315D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Programs with alignment</w:t>
            </w:r>
          </w:p>
        </w:tc>
        <w:tc>
          <w:tcPr>
            <w:tcW w:w="615" w:type="dxa"/>
          </w:tcPr>
          <w:p w14:paraId="10B1126D" w14:textId="4FFCAD1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  <w:r w:rsidR="005C553E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15" w:type="dxa"/>
          </w:tcPr>
          <w:p w14:paraId="741C9E89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6" w:type="dxa"/>
          </w:tcPr>
          <w:p w14:paraId="08FADDCB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5" w:type="dxa"/>
          </w:tcPr>
          <w:p w14:paraId="1B1B5724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15" w:type="dxa"/>
          </w:tcPr>
          <w:p w14:paraId="02EAC1DF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16" w:type="dxa"/>
          </w:tcPr>
          <w:p w14:paraId="031C2790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15" w:type="dxa"/>
          </w:tcPr>
          <w:p w14:paraId="6A265E7C" w14:textId="3247AC99" w:rsidR="008B07A3" w:rsidRDefault="005E1BCA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5" w:type="dxa"/>
          </w:tcPr>
          <w:p w14:paraId="5D039B19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16" w:type="dxa"/>
          </w:tcPr>
          <w:p w14:paraId="6E620165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5" w:type="dxa"/>
          </w:tcPr>
          <w:p w14:paraId="40DC6E70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15" w:type="dxa"/>
          </w:tcPr>
          <w:p w14:paraId="63858425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16" w:type="dxa"/>
          </w:tcPr>
          <w:p w14:paraId="142B67E5" w14:textId="77777777" w:rsidR="008B07A3" w:rsidRDefault="008B07A3" w:rsidP="00D43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15981CCD" w14:textId="77777777" w:rsidR="008B07A3" w:rsidRDefault="008B07A3">
      <w:pPr>
        <w:rPr>
          <w:rFonts w:cstheme="minorHAnsi"/>
          <w:color w:val="000000" w:themeColor="text1"/>
          <w:sz w:val="22"/>
          <w:szCs w:val="22"/>
        </w:rPr>
      </w:pPr>
    </w:p>
    <w:p w14:paraId="72B7A5EB" w14:textId="1484DF6C" w:rsidR="000558A4" w:rsidRDefault="000558A4" w:rsidP="00E1189A">
      <w:pPr>
        <w:pStyle w:val="Heading2"/>
      </w:pPr>
      <w:r>
        <w:t>Program Assessment Gaps</w:t>
      </w:r>
    </w:p>
    <w:p w14:paraId="42467B50" w14:textId="7D88B141" w:rsidR="00B239EF" w:rsidRDefault="00AB5C4E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There are notable gaps in </w:t>
      </w:r>
      <w:r w:rsidR="00B239EF" w:rsidRPr="00AB5C4E">
        <w:rPr>
          <w:rFonts w:cstheme="minorHAnsi"/>
          <w:color w:val="000000" w:themeColor="text1"/>
          <w:sz w:val="22"/>
          <w:szCs w:val="22"/>
        </w:rPr>
        <w:t>Program Assessment</w:t>
      </w:r>
      <w:r>
        <w:rPr>
          <w:rFonts w:cstheme="minorHAnsi"/>
          <w:color w:val="000000" w:themeColor="text1"/>
          <w:sz w:val="22"/>
          <w:szCs w:val="22"/>
        </w:rPr>
        <w:t xml:space="preserve">. Programs that meet WOU’s definition </w:t>
      </w:r>
      <w:r w:rsidR="00112776">
        <w:rPr>
          <w:rFonts w:cstheme="minorHAnsi"/>
          <w:color w:val="000000" w:themeColor="text1"/>
          <w:sz w:val="22"/>
          <w:szCs w:val="22"/>
        </w:rPr>
        <w:t xml:space="preserve">of a program </w:t>
      </w:r>
      <w:r>
        <w:rPr>
          <w:rFonts w:cstheme="minorHAnsi"/>
          <w:color w:val="000000" w:themeColor="text1"/>
          <w:sz w:val="22"/>
          <w:szCs w:val="22"/>
        </w:rPr>
        <w:t xml:space="preserve">but did not file any assessment plan or report for 2017-18 include:  </w:t>
      </w:r>
    </w:p>
    <w:p w14:paraId="798A6E64" w14:textId="06943803" w:rsidR="00166318" w:rsidRPr="00112776" w:rsidRDefault="00166318" w:rsidP="00166318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112776">
        <w:rPr>
          <w:rFonts w:cstheme="minorHAnsi"/>
          <w:color w:val="000000" w:themeColor="text1"/>
          <w:sz w:val="22"/>
          <w:szCs w:val="22"/>
        </w:rPr>
        <w:t xml:space="preserve">General Education. </w:t>
      </w:r>
      <w:r w:rsidR="00F2455D">
        <w:rPr>
          <w:rFonts w:cstheme="minorHAnsi"/>
          <w:color w:val="000000" w:themeColor="text1"/>
          <w:sz w:val="22"/>
          <w:szCs w:val="22"/>
        </w:rPr>
        <w:t xml:space="preserve">The contributions of </w:t>
      </w:r>
      <w:r w:rsidRPr="00112776">
        <w:rPr>
          <w:rFonts w:cstheme="minorHAnsi"/>
          <w:color w:val="000000" w:themeColor="text1"/>
          <w:sz w:val="22"/>
          <w:szCs w:val="22"/>
        </w:rPr>
        <w:t xml:space="preserve">General Education </w:t>
      </w:r>
      <w:r w:rsidR="00F2455D">
        <w:rPr>
          <w:rFonts w:cstheme="minorHAnsi"/>
          <w:color w:val="000000" w:themeColor="text1"/>
          <w:sz w:val="22"/>
          <w:szCs w:val="22"/>
        </w:rPr>
        <w:t xml:space="preserve">to meeting the Undergraduate Learning Outcomes </w:t>
      </w:r>
      <w:r w:rsidRPr="00112776">
        <w:rPr>
          <w:rFonts w:cstheme="minorHAnsi"/>
          <w:color w:val="000000" w:themeColor="text1"/>
          <w:sz w:val="22"/>
          <w:szCs w:val="22"/>
        </w:rPr>
        <w:t>is currently assessed via the University Professional Learning Community process</w:t>
      </w:r>
      <w:r w:rsidR="004837CA">
        <w:rPr>
          <w:rFonts w:cstheme="minorHAnsi"/>
          <w:color w:val="000000" w:themeColor="text1"/>
          <w:sz w:val="22"/>
          <w:szCs w:val="22"/>
        </w:rPr>
        <w:t>.</w:t>
      </w:r>
      <w:r w:rsidRPr="00112776">
        <w:rPr>
          <w:rFonts w:cstheme="minorHAnsi"/>
          <w:color w:val="000000" w:themeColor="text1"/>
          <w:sz w:val="22"/>
          <w:szCs w:val="22"/>
        </w:rPr>
        <w:t xml:space="preserve">  </w:t>
      </w:r>
      <w:r w:rsidR="004837CA">
        <w:rPr>
          <w:rFonts w:cstheme="minorHAnsi"/>
          <w:color w:val="000000" w:themeColor="text1"/>
          <w:sz w:val="22"/>
          <w:szCs w:val="22"/>
        </w:rPr>
        <w:t>W</w:t>
      </w:r>
      <w:r w:rsidRPr="00112776">
        <w:rPr>
          <w:rFonts w:cstheme="minorHAnsi"/>
          <w:color w:val="000000" w:themeColor="text1"/>
          <w:sz w:val="22"/>
          <w:szCs w:val="22"/>
        </w:rPr>
        <w:t xml:space="preserve">ith the adoption of the revamped General Education Program </w:t>
      </w:r>
      <w:r w:rsidR="00F2455D">
        <w:rPr>
          <w:rFonts w:cstheme="minorHAnsi"/>
          <w:color w:val="000000" w:themeColor="text1"/>
          <w:sz w:val="22"/>
          <w:szCs w:val="22"/>
        </w:rPr>
        <w:t xml:space="preserve">(including General Education Learning Outcomes) </w:t>
      </w:r>
      <w:r w:rsidRPr="00112776">
        <w:rPr>
          <w:rFonts w:cstheme="minorHAnsi"/>
          <w:color w:val="000000" w:themeColor="text1"/>
          <w:sz w:val="22"/>
          <w:szCs w:val="22"/>
        </w:rPr>
        <w:t xml:space="preserve">by WOU for the 2019-20 academic year, it is anticipated that </w:t>
      </w:r>
      <w:r w:rsidR="00F2455D">
        <w:rPr>
          <w:rFonts w:cstheme="minorHAnsi"/>
          <w:color w:val="000000" w:themeColor="text1"/>
          <w:sz w:val="22"/>
          <w:szCs w:val="22"/>
        </w:rPr>
        <w:t>the PLCs will continue to function as one component of General Education program assessment</w:t>
      </w:r>
      <w:r w:rsidR="00373D7B">
        <w:rPr>
          <w:rFonts w:cstheme="minorHAnsi"/>
          <w:color w:val="000000" w:themeColor="text1"/>
          <w:sz w:val="22"/>
          <w:szCs w:val="22"/>
        </w:rPr>
        <w:t>,</w:t>
      </w:r>
      <w:r w:rsidR="00F2455D">
        <w:rPr>
          <w:rFonts w:cstheme="minorHAnsi"/>
          <w:color w:val="000000" w:themeColor="text1"/>
          <w:sz w:val="22"/>
          <w:szCs w:val="22"/>
        </w:rPr>
        <w:t xml:space="preserve"> but there should be an expectation for the submission of a General Education program assessment report. </w:t>
      </w:r>
    </w:p>
    <w:p w14:paraId="4D8C7B9B" w14:textId="44BCD6F8" w:rsidR="00112776" w:rsidRPr="00112776" w:rsidRDefault="00B239EF" w:rsidP="0011277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112776">
        <w:rPr>
          <w:rFonts w:cstheme="minorHAnsi"/>
          <w:color w:val="000000" w:themeColor="text1"/>
          <w:sz w:val="22"/>
          <w:szCs w:val="22"/>
        </w:rPr>
        <w:t>Honors</w:t>
      </w:r>
      <w:r w:rsidR="00E77B25">
        <w:rPr>
          <w:rFonts w:cstheme="minorHAnsi"/>
          <w:color w:val="000000" w:themeColor="text1"/>
          <w:sz w:val="22"/>
          <w:szCs w:val="22"/>
        </w:rPr>
        <w:t>. T</w:t>
      </w:r>
      <w:r w:rsidR="00112776">
        <w:rPr>
          <w:rFonts w:cstheme="minorHAnsi"/>
          <w:color w:val="000000" w:themeColor="text1"/>
          <w:sz w:val="22"/>
          <w:szCs w:val="22"/>
        </w:rPr>
        <w:t>he Honors program has identified program learning outcomes, but has currently not been included in program assessment reporting. The status of Honors as an alternate General Education</w:t>
      </w:r>
      <w:r w:rsidR="00824CBA">
        <w:rPr>
          <w:rFonts w:cstheme="minorHAnsi"/>
          <w:color w:val="000000" w:themeColor="text1"/>
          <w:sz w:val="22"/>
          <w:szCs w:val="22"/>
        </w:rPr>
        <w:t xml:space="preserve"> program</w:t>
      </w:r>
      <w:r w:rsidR="00112776">
        <w:rPr>
          <w:rFonts w:cstheme="minorHAnsi"/>
          <w:color w:val="000000" w:themeColor="text1"/>
          <w:sz w:val="22"/>
          <w:szCs w:val="22"/>
        </w:rPr>
        <w:t xml:space="preserve"> at WOU </w:t>
      </w:r>
      <w:r w:rsidR="00886069">
        <w:rPr>
          <w:rFonts w:cstheme="minorHAnsi"/>
          <w:color w:val="000000" w:themeColor="text1"/>
          <w:sz w:val="22"/>
          <w:szCs w:val="22"/>
        </w:rPr>
        <w:t>should</w:t>
      </w:r>
      <w:r w:rsidR="00112776">
        <w:rPr>
          <w:rFonts w:cstheme="minorHAnsi"/>
          <w:color w:val="000000" w:themeColor="text1"/>
          <w:sz w:val="22"/>
          <w:szCs w:val="22"/>
        </w:rPr>
        <w:t xml:space="preserve"> </w:t>
      </w:r>
      <w:r w:rsidR="00D154A6">
        <w:rPr>
          <w:rFonts w:cstheme="minorHAnsi"/>
          <w:color w:val="000000" w:themeColor="text1"/>
          <w:sz w:val="22"/>
          <w:szCs w:val="22"/>
        </w:rPr>
        <w:t>allow for targeted</w:t>
      </w:r>
      <w:r w:rsidR="00886069">
        <w:rPr>
          <w:rFonts w:cstheme="minorHAnsi"/>
          <w:color w:val="000000" w:themeColor="text1"/>
          <w:sz w:val="22"/>
          <w:szCs w:val="22"/>
        </w:rPr>
        <w:t xml:space="preserve"> program</w:t>
      </w:r>
      <w:r w:rsidR="00D154A6">
        <w:rPr>
          <w:rFonts w:cstheme="minorHAnsi"/>
          <w:color w:val="000000" w:themeColor="text1"/>
          <w:sz w:val="22"/>
          <w:szCs w:val="22"/>
        </w:rPr>
        <w:t xml:space="preserve"> assessment reporting concurrent with General Education </w:t>
      </w:r>
      <w:r w:rsidR="00373D7B">
        <w:rPr>
          <w:rFonts w:cstheme="minorHAnsi"/>
          <w:color w:val="000000" w:themeColor="text1"/>
          <w:sz w:val="22"/>
          <w:szCs w:val="22"/>
        </w:rPr>
        <w:t>a</w:t>
      </w:r>
      <w:r w:rsidR="00D154A6">
        <w:rPr>
          <w:rFonts w:cstheme="minorHAnsi"/>
          <w:color w:val="000000" w:themeColor="text1"/>
          <w:sz w:val="22"/>
          <w:szCs w:val="22"/>
        </w:rPr>
        <w:t xml:space="preserve">ssessment. </w:t>
      </w:r>
    </w:p>
    <w:p w14:paraId="79109B21" w14:textId="101CFD7E" w:rsidR="00B239EF" w:rsidRPr="00112776" w:rsidRDefault="00B239EF" w:rsidP="00112776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112776">
        <w:rPr>
          <w:rFonts w:cstheme="minorHAnsi"/>
          <w:color w:val="000000" w:themeColor="text1"/>
          <w:sz w:val="22"/>
          <w:szCs w:val="22"/>
        </w:rPr>
        <w:t>Interdisciplinary Studies</w:t>
      </w:r>
      <w:r w:rsidR="00E77B25">
        <w:rPr>
          <w:rFonts w:cstheme="minorHAnsi"/>
          <w:color w:val="000000" w:themeColor="text1"/>
          <w:sz w:val="22"/>
          <w:szCs w:val="22"/>
        </w:rPr>
        <w:t>.</w:t>
      </w:r>
      <w:r w:rsidR="00D154A6">
        <w:rPr>
          <w:rFonts w:cstheme="minorHAnsi"/>
          <w:color w:val="000000" w:themeColor="text1"/>
          <w:sz w:val="22"/>
          <w:szCs w:val="22"/>
        </w:rPr>
        <w:t xml:space="preserve"> </w:t>
      </w:r>
      <w:r w:rsidR="004A4083">
        <w:rPr>
          <w:rFonts w:cstheme="minorHAnsi"/>
          <w:color w:val="000000" w:themeColor="text1"/>
          <w:sz w:val="22"/>
          <w:szCs w:val="22"/>
        </w:rPr>
        <w:t xml:space="preserve">Interdisciplinary Studies has also identified program learning outcomes but has not yet engaged in program assessment reporting. </w:t>
      </w:r>
      <w:r w:rsidR="00D154A6">
        <w:rPr>
          <w:rFonts w:cstheme="minorHAnsi"/>
          <w:color w:val="000000" w:themeColor="text1"/>
          <w:sz w:val="22"/>
          <w:szCs w:val="22"/>
        </w:rPr>
        <w:t>As the number of students completing Interdisciplinary Studies is growing at WOU</w:t>
      </w:r>
      <w:r w:rsidR="00B22A65">
        <w:rPr>
          <w:rFonts w:cstheme="minorHAnsi"/>
          <w:color w:val="000000" w:themeColor="text1"/>
          <w:sz w:val="22"/>
          <w:szCs w:val="22"/>
        </w:rPr>
        <w:t xml:space="preserve">, this </w:t>
      </w:r>
      <w:r w:rsidR="00E42038">
        <w:rPr>
          <w:rFonts w:cstheme="minorHAnsi"/>
          <w:color w:val="000000" w:themeColor="text1"/>
          <w:sz w:val="22"/>
          <w:szCs w:val="22"/>
        </w:rPr>
        <w:t xml:space="preserve">program should be included in program assessment planning and reporting in the immediate future. </w:t>
      </w:r>
    </w:p>
    <w:p w14:paraId="78368367" w14:textId="0928C706" w:rsidR="00B239EF" w:rsidRPr="00801DE1" w:rsidRDefault="00B239EF" w:rsidP="00801DE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112776">
        <w:rPr>
          <w:rFonts w:cstheme="minorHAnsi"/>
          <w:color w:val="000000" w:themeColor="text1"/>
          <w:sz w:val="22"/>
          <w:szCs w:val="22"/>
        </w:rPr>
        <w:t>A</w:t>
      </w:r>
      <w:r w:rsidR="00AB5C4E" w:rsidRPr="00112776">
        <w:rPr>
          <w:rFonts w:cstheme="minorHAnsi"/>
          <w:color w:val="000000" w:themeColor="text1"/>
          <w:sz w:val="22"/>
          <w:szCs w:val="22"/>
        </w:rPr>
        <w:t>ll A</w:t>
      </w:r>
      <w:r w:rsidRPr="00112776">
        <w:rPr>
          <w:rFonts w:cstheme="minorHAnsi"/>
          <w:color w:val="000000" w:themeColor="text1"/>
          <w:sz w:val="22"/>
          <w:szCs w:val="22"/>
        </w:rPr>
        <w:t>pplied Baccalaureate</w:t>
      </w:r>
      <w:r w:rsidR="00E77B25">
        <w:rPr>
          <w:rFonts w:cstheme="minorHAnsi"/>
          <w:color w:val="000000" w:themeColor="text1"/>
          <w:sz w:val="22"/>
          <w:szCs w:val="22"/>
        </w:rPr>
        <w:t xml:space="preserve">s. </w:t>
      </w:r>
      <w:r w:rsidR="00801DE1">
        <w:rPr>
          <w:rFonts w:cstheme="minorHAnsi"/>
          <w:color w:val="000000" w:themeColor="text1"/>
          <w:sz w:val="22"/>
          <w:szCs w:val="22"/>
        </w:rPr>
        <w:t xml:space="preserve">As many of the Applied Baccalaureates are </w:t>
      </w:r>
      <w:r w:rsidR="003453C3">
        <w:rPr>
          <w:rFonts w:cstheme="minorHAnsi"/>
          <w:color w:val="000000" w:themeColor="text1"/>
          <w:sz w:val="22"/>
          <w:szCs w:val="22"/>
        </w:rPr>
        <w:t xml:space="preserve">built upon existing Undergraduate or Graduate programs, it might be assumed that program assessment reporting includes students completing AB degrees. </w:t>
      </w:r>
      <w:r w:rsidR="000311EE">
        <w:rPr>
          <w:rFonts w:cstheme="minorHAnsi"/>
          <w:color w:val="000000" w:themeColor="text1"/>
          <w:sz w:val="22"/>
          <w:szCs w:val="22"/>
        </w:rPr>
        <w:t xml:space="preserve">This </w:t>
      </w:r>
      <w:r w:rsidR="00373D7B">
        <w:rPr>
          <w:rFonts w:cstheme="minorHAnsi"/>
          <w:color w:val="000000" w:themeColor="text1"/>
          <w:sz w:val="22"/>
          <w:szCs w:val="22"/>
        </w:rPr>
        <w:t>is unclear</w:t>
      </w:r>
      <w:r w:rsidR="000311EE">
        <w:rPr>
          <w:rFonts w:cstheme="minorHAnsi"/>
          <w:color w:val="000000" w:themeColor="text1"/>
          <w:sz w:val="22"/>
          <w:szCs w:val="22"/>
        </w:rPr>
        <w:t xml:space="preserve">, however, as no program assessment report touched on or mentioned any consideration of AB students as part of the reporting or provided clarification regarding AB completion. </w:t>
      </w:r>
      <w:r w:rsidR="0003459F">
        <w:rPr>
          <w:rFonts w:cstheme="minorHAnsi"/>
          <w:color w:val="000000" w:themeColor="text1"/>
          <w:sz w:val="22"/>
          <w:szCs w:val="22"/>
        </w:rPr>
        <w:t>As there are also Applied Baccalaureates (e.g. Liberal Studies) that are not connected to existing</w:t>
      </w:r>
      <w:r w:rsidR="00373D7B">
        <w:rPr>
          <w:rFonts w:cstheme="minorHAnsi"/>
          <w:color w:val="000000" w:themeColor="text1"/>
          <w:sz w:val="22"/>
          <w:szCs w:val="22"/>
        </w:rPr>
        <w:t xml:space="preserve"> assessed</w:t>
      </w:r>
      <w:r w:rsidR="0003459F">
        <w:rPr>
          <w:rFonts w:cstheme="minorHAnsi"/>
          <w:color w:val="000000" w:themeColor="text1"/>
          <w:sz w:val="22"/>
          <w:szCs w:val="22"/>
        </w:rPr>
        <w:t xml:space="preserve"> academic program, </w:t>
      </w:r>
      <w:r w:rsidR="00CE77C8">
        <w:rPr>
          <w:rFonts w:cstheme="minorHAnsi"/>
          <w:color w:val="000000" w:themeColor="text1"/>
          <w:sz w:val="22"/>
          <w:szCs w:val="22"/>
        </w:rPr>
        <w:t>the exclusion of AB programs from program assessment is an</w:t>
      </w:r>
      <w:r w:rsidR="008C219C">
        <w:rPr>
          <w:rFonts w:cstheme="minorHAnsi"/>
          <w:color w:val="000000" w:themeColor="text1"/>
          <w:sz w:val="22"/>
          <w:szCs w:val="22"/>
        </w:rPr>
        <w:t xml:space="preserve"> obvious</w:t>
      </w:r>
      <w:r w:rsidR="0003459F">
        <w:rPr>
          <w:rFonts w:cstheme="minorHAnsi"/>
          <w:color w:val="000000" w:themeColor="text1"/>
          <w:sz w:val="22"/>
          <w:szCs w:val="22"/>
        </w:rPr>
        <w:t xml:space="preserve"> oversight </w:t>
      </w:r>
      <w:r w:rsidR="005E2EE2">
        <w:rPr>
          <w:rFonts w:cstheme="minorHAnsi"/>
          <w:color w:val="000000" w:themeColor="text1"/>
          <w:sz w:val="22"/>
          <w:szCs w:val="22"/>
        </w:rPr>
        <w:t xml:space="preserve">that </w:t>
      </w:r>
      <w:r w:rsidR="0003459F">
        <w:rPr>
          <w:rFonts w:cstheme="minorHAnsi"/>
          <w:color w:val="000000" w:themeColor="text1"/>
          <w:sz w:val="22"/>
          <w:szCs w:val="22"/>
        </w:rPr>
        <w:t xml:space="preserve">needs to be remedied. </w:t>
      </w:r>
    </w:p>
    <w:p w14:paraId="5E5BEF64" w14:textId="4585F179" w:rsidR="006411D7" w:rsidRPr="00AB5C4E" w:rsidRDefault="006411D7" w:rsidP="00E1189A">
      <w:pPr>
        <w:pStyle w:val="Heading1"/>
      </w:pPr>
      <w:r w:rsidRPr="00AB5C4E">
        <w:lastRenderedPageBreak/>
        <w:t>Recommendations</w:t>
      </w:r>
    </w:p>
    <w:p w14:paraId="15220C4D" w14:textId="77777777" w:rsidR="00E1189A" w:rsidRDefault="00E1189A">
      <w:pPr>
        <w:rPr>
          <w:rFonts w:cstheme="minorHAnsi"/>
          <w:color w:val="000000" w:themeColor="text1"/>
          <w:sz w:val="22"/>
          <w:szCs w:val="22"/>
        </w:rPr>
      </w:pPr>
    </w:p>
    <w:p w14:paraId="3E46E579" w14:textId="782EC108" w:rsidR="006568BC" w:rsidRDefault="00703706" w:rsidP="00AD360C">
      <w:pPr>
        <w:pStyle w:val="Heading2"/>
      </w:pPr>
      <w:r>
        <w:t xml:space="preserve">Improve </w:t>
      </w:r>
      <w:r w:rsidR="006568BC">
        <w:t>Graduate program</w:t>
      </w:r>
      <w:r>
        <w:t xml:space="preserve"> assessment as part of University assessment</w:t>
      </w:r>
    </w:p>
    <w:p w14:paraId="01CEA747" w14:textId="5AAA17F6" w:rsidR="00A903D9" w:rsidRDefault="00703706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The majority of Graduate programs reporting focused on </w:t>
      </w:r>
      <w:r w:rsidR="00802CEC">
        <w:rPr>
          <w:rFonts w:cstheme="minorHAnsi"/>
          <w:color w:val="000000" w:themeColor="text1"/>
          <w:sz w:val="22"/>
          <w:szCs w:val="22"/>
        </w:rPr>
        <w:t xml:space="preserve">either professional preparation benchmarks or standards set by external accreditors. </w:t>
      </w:r>
      <w:r w:rsidR="00373D7B" w:rsidRPr="00373D7B">
        <w:rPr>
          <w:rFonts w:cstheme="minorHAnsi"/>
          <w:color w:val="000000" w:themeColor="text1"/>
          <w:sz w:val="22"/>
          <w:szCs w:val="22"/>
        </w:rPr>
        <w:t>None of the WOU graduate programs appears to perceive an affiliation between their program and the proposed DQP outcomes.</w:t>
      </w:r>
      <w:r w:rsidR="00373D7B">
        <w:rPr>
          <w:rFonts w:cstheme="minorHAnsi"/>
          <w:color w:val="000000" w:themeColor="text1"/>
          <w:sz w:val="22"/>
          <w:szCs w:val="22"/>
        </w:rPr>
        <w:t xml:space="preserve"> </w:t>
      </w:r>
      <w:r w:rsidR="00692EB8">
        <w:rPr>
          <w:rFonts w:cstheme="minorHAnsi"/>
          <w:color w:val="000000" w:themeColor="text1"/>
          <w:sz w:val="22"/>
          <w:szCs w:val="22"/>
        </w:rPr>
        <w:t>As a result, graduate program assessment does not have a</w:t>
      </w:r>
      <w:r w:rsidR="00135DA8">
        <w:rPr>
          <w:rFonts w:cstheme="minorHAnsi"/>
          <w:color w:val="000000" w:themeColor="text1"/>
          <w:sz w:val="22"/>
          <w:szCs w:val="22"/>
        </w:rPr>
        <w:t>ny consistency or institution</w:t>
      </w:r>
      <w:r w:rsidR="005656AE">
        <w:rPr>
          <w:rFonts w:cstheme="minorHAnsi"/>
          <w:color w:val="000000" w:themeColor="text1"/>
          <w:sz w:val="22"/>
          <w:szCs w:val="22"/>
        </w:rPr>
        <w:t>-specific identity</w:t>
      </w:r>
      <w:r w:rsidR="00135DA8">
        <w:rPr>
          <w:rFonts w:cstheme="minorHAnsi"/>
          <w:color w:val="000000" w:themeColor="text1"/>
          <w:sz w:val="22"/>
          <w:szCs w:val="22"/>
        </w:rPr>
        <w:t xml:space="preserve"> and </w:t>
      </w:r>
      <w:r w:rsidR="00373D7B">
        <w:rPr>
          <w:rFonts w:cstheme="minorHAnsi"/>
          <w:color w:val="000000" w:themeColor="text1"/>
          <w:sz w:val="22"/>
          <w:szCs w:val="22"/>
        </w:rPr>
        <w:t xml:space="preserve">therefore </w:t>
      </w:r>
      <w:r w:rsidR="00135DA8">
        <w:rPr>
          <w:rFonts w:cstheme="minorHAnsi"/>
          <w:color w:val="000000" w:themeColor="text1"/>
          <w:sz w:val="22"/>
          <w:szCs w:val="22"/>
        </w:rPr>
        <w:t>the opportun</w:t>
      </w:r>
      <w:bookmarkStart w:id="0" w:name="_GoBack"/>
      <w:bookmarkEnd w:id="0"/>
      <w:r w:rsidR="00135DA8">
        <w:rPr>
          <w:rFonts w:cstheme="minorHAnsi"/>
          <w:color w:val="000000" w:themeColor="text1"/>
          <w:sz w:val="22"/>
          <w:szCs w:val="22"/>
        </w:rPr>
        <w:t>it</w:t>
      </w:r>
      <w:r w:rsidR="00373D7B">
        <w:rPr>
          <w:rFonts w:cstheme="minorHAnsi"/>
          <w:color w:val="000000" w:themeColor="text1"/>
          <w:sz w:val="22"/>
          <w:szCs w:val="22"/>
        </w:rPr>
        <w:t>ies</w:t>
      </w:r>
      <w:r w:rsidR="00135DA8">
        <w:rPr>
          <w:rFonts w:cstheme="minorHAnsi"/>
          <w:color w:val="000000" w:themeColor="text1"/>
          <w:sz w:val="22"/>
          <w:szCs w:val="22"/>
        </w:rPr>
        <w:t xml:space="preserve"> for graduate programs to </w:t>
      </w:r>
      <w:r w:rsidR="000F439D">
        <w:rPr>
          <w:rFonts w:cstheme="minorHAnsi"/>
          <w:color w:val="000000" w:themeColor="text1"/>
          <w:sz w:val="22"/>
          <w:szCs w:val="22"/>
        </w:rPr>
        <w:t xml:space="preserve">engage in continuing effectiveness through sharing data and </w:t>
      </w:r>
      <w:r w:rsidR="000D185C">
        <w:rPr>
          <w:rFonts w:cstheme="minorHAnsi"/>
          <w:color w:val="000000" w:themeColor="text1"/>
          <w:sz w:val="22"/>
          <w:szCs w:val="22"/>
        </w:rPr>
        <w:t>learn</w:t>
      </w:r>
      <w:r w:rsidR="000F439D">
        <w:rPr>
          <w:rFonts w:cstheme="minorHAnsi"/>
          <w:color w:val="000000" w:themeColor="text1"/>
          <w:sz w:val="22"/>
          <w:szCs w:val="22"/>
        </w:rPr>
        <w:t>ing</w:t>
      </w:r>
      <w:r w:rsidR="000D185C">
        <w:rPr>
          <w:rFonts w:cstheme="minorHAnsi"/>
          <w:color w:val="000000" w:themeColor="text1"/>
          <w:sz w:val="22"/>
          <w:szCs w:val="22"/>
        </w:rPr>
        <w:t xml:space="preserve"> from one another </w:t>
      </w:r>
      <w:r w:rsidR="00373D7B">
        <w:rPr>
          <w:rFonts w:cstheme="minorHAnsi"/>
          <w:color w:val="000000" w:themeColor="text1"/>
          <w:sz w:val="22"/>
          <w:szCs w:val="22"/>
        </w:rPr>
        <w:t>are</w:t>
      </w:r>
      <w:r w:rsidR="00E66305">
        <w:rPr>
          <w:rFonts w:cstheme="minorHAnsi"/>
          <w:color w:val="000000" w:themeColor="text1"/>
          <w:sz w:val="22"/>
          <w:szCs w:val="22"/>
        </w:rPr>
        <w:t xml:space="preserve"> limited.</w:t>
      </w:r>
      <w:r w:rsidR="00802CEC">
        <w:rPr>
          <w:rFonts w:cstheme="minorHAnsi"/>
          <w:color w:val="000000" w:themeColor="text1"/>
          <w:sz w:val="22"/>
          <w:szCs w:val="22"/>
        </w:rPr>
        <w:t xml:space="preserve"> At this time, the</w:t>
      </w:r>
      <w:r w:rsidR="00C6491D">
        <w:rPr>
          <w:rFonts w:cstheme="minorHAnsi"/>
          <w:color w:val="000000" w:themeColor="text1"/>
          <w:sz w:val="22"/>
          <w:szCs w:val="22"/>
        </w:rPr>
        <w:t xml:space="preserve"> </w:t>
      </w:r>
      <w:r w:rsidR="00A903D9">
        <w:rPr>
          <w:rFonts w:cstheme="minorHAnsi"/>
          <w:color w:val="000000" w:themeColor="text1"/>
          <w:sz w:val="22"/>
          <w:szCs w:val="22"/>
        </w:rPr>
        <w:t>Graduate P</w:t>
      </w:r>
      <w:r w:rsidR="00802CEC">
        <w:rPr>
          <w:rFonts w:cstheme="minorHAnsi"/>
          <w:color w:val="000000" w:themeColor="text1"/>
          <w:sz w:val="22"/>
          <w:szCs w:val="22"/>
        </w:rPr>
        <w:t xml:space="preserve">rofessional </w:t>
      </w:r>
      <w:r w:rsidR="00A903D9">
        <w:rPr>
          <w:rFonts w:cstheme="minorHAnsi"/>
          <w:color w:val="000000" w:themeColor="text1"/>
          <w:sz w:val="22"/>
          <w:szCs w:val="22"/>
        </w:rPr>
        <w:t>L</w:t>
      </w:r>
      <w:r w:rsidR="00802CEC">
        <w:rPr>
          <w:rFonts w:cstheme="minorHAnsi"/>
          <w:color w:val="000000" w:themeColor="text1"/>
          <w:sz w:val="22"/>
          <w:szCs w:val="22"/>
        </w:rPr>
        <w:t xml:space="preserve">earning </w:t>
      </w:r>
      <w:r w:rsidR="00A903D9">
        <w:rPr>
          <w:rFonts w:cstheme="minorHAnsi"/>
          <w:color w:val="000000" w:themeColor="text1"/>
          <w:sz w:val="22"/>
          <w:szCs w:val="22"/>
        </w:rPr>
        <w:t>C</w:t>
      </w:r>
      <w:r w:rsidR="00802CEC">
        <w:rPr>
          <w:rFonts w:cstheme="minorHAnsi"/>
          <w:color w:val="000000" w:themeColor="text1"/>
          <w:sz w:val="22"/>
          <w:szCs w:val="22"/>
        </w:rPr>
        <w:t xml:space="preserve">ommunity </w:t>
      </w:r>
      <w:r w:rsidR="00A3460E">
        <w:rPr>
          <w:rFonts w:cstheme="minorHAnsi"/>
          <w:color w:val="000000" w:themeColor="text1"/>
          <w:sz w:val="22"/>
          <w:szCs w:val="22"/>
        </w:rPr>
        <w:t xml:space="preserve">is examining a model for </w:t>
      </w:r>
      <w:r w:rsidR="00F12563">
        <w:rPr>
          <w:rFonts w:cstheme="minorHAnsi"/>
          <w:color w:val="000000" w:themeColor="text1"/>
          <w:sz w:val="22"/>
          <w:szCs w:val="22"/>
        </w:rPr>
        <w:t xml:space="preserve">building a </w:t>
      </w:r>
      <w:r w:rsidR="00E66305">
        <w:rPr>
          <w:rFonts w:cstheme="minorHAnsi"/>
          <w:color w:val="000000" w:themeColor="text1"/>
          <w:sz w:val="22"/>
          <w:szCs w:val="22"/>
        </w:rPr>
        <w:t xml:space="preserve">shared </w:t>
      </w:r>
      <w:r w:rsidR="00F12563">
        <w:rPr>
          <w:rFonts w:cstheme="minorHAnsi"/>
          <w:color w:val="000000" w:themeColor="text1"/>
          <w:sz w:val="22"/>
          <w:szCs w:val="22"/>
        </w:rPr>
        <w:t xml:space="preserve">framework of desired attributes </w:t>
      </w:r>
      <w:r w:rsidR="001D5735">
        <w:rPr>
          <w:rFonts w:cstheme="minorHAnsi"/>
          <w:color w:val="000000" w:themeColor="text1"/>
          <w:sz w:val="22"/>
          <w:szCs w:val="22"/>
        </w:rPr>
        <w:t>of</w:t>
      </w:r>
      <w:r w:rsidR="00F12563">
        <w:rPr>
          <w:rFonts w:cstheme="minorHAnsi"/>
          <w:color w:val="000000" w:themeColor="text1"/>
          <w:sz w:val="22"/>
          <w:szCs w:val="22"/>
        </w:rPr>
        <w:t xml:space="preserve"> WOU graduates</w:t>
      </w:r>
      <w:r w:rsidR="001D5735">
        <w:rPr>
          <w:rFonts w:cstheme="minorHAnsi"/>
          <w:color w:val="000000" w:themeColor="text1"/>
          <w:sz w:val="22"/>
          <w:szCs w:val="22"/>
        </w:rPr>
        <w:t>,</w:t>
      </w:r>
      <w:r w:rsidR="00F12563">
        <w:rPr>
          <w:rFonts w:cstheme="minorHAnsi"/>
          <w:color w:val="000000" w:themeColor="text1"/>
          <w:sz w:val="22"/>
          <w:szCs w:val="22"/>
        </w:rPr>
        <w:t xml:space="preserve"> to which</w:t>
      </w:r>
      <w:r w:rsidR="00A3460E">
        <w:rPr>
          <w:rFonts w:cstheme="minorHAnsi"/>
          <w:color w:val="000000" w:themeColor="text1"/>
          <w:sz w:val="22"/>
          <w:szCs w:val="22"/>
        </w:rPr>
        <w:t xml:space="preserve"> each </w:t>
      </w:r>
      <w:r w:rsidR="00F12563">
        <w:rPr>
          <w:rFonts w:cstheme="minorHAnsi"/>
          <w:color w:val="000000" w:themeColor="text1"/>
          <w:sz w:val="22"/>
          <w:szCs w:val="22"/>
        </w:rPr>
        <w:t>g</w:t>
      </w:r>
      <w:r w:rsidR="00A3460E">
        <w:rPr>
          <w:rFonts w:cstheme="minorHAnsi"/>
          <w:color w:val="000000" w:themeColor="text1"/>
          <w:sz w:val="22"/>
          <w:szCs w:val="22"/>
        </w:rPr>
        <w:t xml:space="preserve">raduate program </w:t>
      </w:r>
      <w:r w:rsidR="00F12563">
        <w:rPr>
          <w:rFonts w:cstheme="minorHAnsi"/>
          <w:color w:val="000000" w:themeColor="text1"/>
          <w:sz w:val="22"/>
          <w:szCs w:val="22"/>
        </w:rPr>
        <w:t>would align learning outcomes</w:t>
      </w:r>
      <w:r w:rsidR="00A3460E">
        <w:rPr>
          <w:rFonts w:cstheme="minorHAnsi"/>
          <w:color w:val="000000" w:themeColor="text1"/>
          <w:sz w:val="22"/>
          <w:szCs w:val="22"/>
        </w:rPr>
        <w:t xml:space="preserve"> appropriate to their role in student </w:t>
      </w:r>
      <w:r w:rsidR="009B263F">
        <w:rPr>
          <w:rFonts w:cstheme="minorHAnsi"/>
          <w:color w:val="000000" w:themeColor="text1"/>
          <w:sz w:val="22"/>
          <w:szCs w:val="22"/>
        </w:rPr>
        <w:t xml:space="preserve">professional </w:t>
      </w:r>
      <w:r w:rsidR="00A3460E">
        <w:rPr>
          <w:rFonts w:cstheme="minorHAnsi"/>
          <w:color w:val="000000" w:themeColor="text1"/>
          <w:sz w:val="22"/>
          <w:szCs w:val="22"/>
        </w:rPr>
        <w:t>preparation</w:t>
      </w:r>
      <w:r w:rsidR="00F12563">
        <w:rPr>
          <w:rFonts w:cstheme="minorHAnsi"/>
          <w:color w:val="000000" w:themeColor="text1"/>
          <w:sz w:val="22"/>
          <w:szCs w:val="22"/>
        </w:rPr>
        <w:t xml:space="preserve">. </w:t>
      </w:r>
      <w:r w:rsidR="00C74493">
        <w:rPr>
          <w:rFonts w:cstheme="minorHAnsi"/>
          <w:color w:val="000000" w:themeColor="text1"/>
          <w:sz w:val="22"/>
          <w:szCs w:val="22"/>
        </w:rPr>
        <w:t xml:space="preserve">Program assessment for Graduate programs should </w:t>
      </w:r>
      <w:r w:rsidR="001D5735">
        <w:rPr>
          <w:rFonts w:cstheme="minorHAnsi"/>
          <w:color w:val="000000" w:themeColor="text1"/>
          <w:sz w:val="22"/>
          <w:szCs w:val="22"/>
        </w:rPr>
        <w:t xml:space="preserve">then </w:t>
      </w:r>
      <w:r w:rsidR="00C74493">
        <w:rPr>
          <w:rFonts w:cstheme="minorHAnsi"/>
          <w:color w:val="000000" w:themeColor="text1"/>
          <w:sz w:val="22"/>
          <w:szCs w:val="22"/>
        </w:rPr>
        <w:t xml:space="preserve">be structured within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C74493">
        <w:rPr>
          <w:rFonts w:cstheme="minorHAnsi"/>
          <w:color w:val="000000" w:themeColor="text1"/>
          <w:sz w:val="22"/>
          <w:szCs w:val="22"/>
        </w:rPr>
        <w:t xml:space="preserve"> to utilize the model developed by the Graduate PLC. </w:t>
      </w:r>
    </w:p>
    <w:p w14:paraId="45833018" w14:textId="77777777" w:rsidR="00F213A8" w:rsidRDefault="00F213A8" w:rsidP="00AD360C">
      <w:pPr>
        <w:pStyle w:val="Heading2"/>
      </w:pPr>
    </w:p>
    <w:p w14:paraId="3E8D7970" w14:textId="04116A4E" w:rsidR="00682130" w:rsidRPr="00AB5C4E" w:rsidRDefault="00682130" w:rsidP="00AD360C">
      <w:pPr>
        <w:pStyle w:val="Heading2"/>
      </w:pPr>
      <w:r w:rsidRPr="00AB5C4E">
        <w:t xml:space="preserve">Refinement of </w:t>
      </w:r>
      <w:r w:rsidR="008B0EBD">
        <w:t>Tk20</w:t>
      </w:r>
      <w:r w:rsidRPr="00AB5C4E">
        <w:t xml:space="preserve"> for more effective data collection</w:t>
      </w:r>
    </w:p>
    <w:p w14:paraId="5F40B9C0" w14:textId="4D4CD099" w:rsidR="00F22425" w:rsidRDefault="00A95D2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Some minor adjustments to the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>
        <w:rPr>
          <w:rFonts w:cstheme="minorHAnsi"/>
          <w:color w:val="000000" w:themeColor="text1"/>
          <w:sz w:val="22"/>
          <w:szCs w:val="22"/>
        </w:rPr>
        <w:t xml:space="preserve"> reporting system and training for faculty in use of the system is a relatively low-effort way to greatly improve program assessment reporting.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>
        <w:rPr>
          <w:rFonts w:cstheme="minorHAnsi"/>
          <w:color w:val="000000" w:themeColor="text1"/>
          <w:sz w:val="22"/>
          <w:szCs w:val="22"/>
        </w:rPr>
        <w:t xml:space="preserve"> needs to be updated to reflect current program structure, including consolidating programs as indicated by program coordinators and</w:t>
      </w:r>
      <w:r w:rsidR="00B6682A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Division chairs and </w:t>
      </w:r>
      <w:r w:rsidR="005E2BC5">
        <w:rPr>
          <w:rFonts w:cstheme="minorHAnsi"/>
          <w:color w:val="000000" w:themeColor="text1"/>
          <w:sz w:val="22"/>
          <w:szCs w:val="22"/>
        </w:rPr>
        <w:t>clarifying the need for reporting on</w:t>
      </w:r>
      <w:r>
        <w:rPr>
          <w:rFonts w:cstheme="minorHAnsi"/>
          <w:color w:val="000000" w:themeColor="text1"/>
          <w:sz w:val="22"/>
          <w:szCs w:val="22"/>
        </w:rPr>
        <w:t xml:space="preserve"> programs that </w:t>
      </w:r>
      <w:r w:rsidR="005E2BC5">
        <w:rPr>
          <w:rFonts w:cstheme="minorHAnsi"/>
          <w:color w:val="000000" w:themeColor="text1"/>
          <w:sz w:val="22"/>
          <w:szCs w:val="22"/>
        </w:rPr>
        <w:t>were not addressed in program reporting this year</w:t>
      </w:r>
      <w:r>
        <w:rPr>
          <w:rFonts w:cstheme="minorHAnsi"/>
          <w:color w:val="000000" w:themeColor="text1"/>
          <w:sz w:val="22"/>
          <w:szCs w:val="22"/>
        </w:rPr>
        <w:t>.</w:t>
      </w:r>
      <w:r w:rsidR="001F4087">
        <w:rPr>
          <w:rFonts w:cstheme="minorHAnsi"/>
          <w:color w:val="000000" w:themeColor="text1"/>
          <w:sz w:val="22"/>
          <w:szCs w:val="22"/>
        </w:rPr>
        <w:t xml:space="preserve"> </w:t>
      </w:r>
      <w:r w:rsidR="00EF31C9">
        <w:rPr>
          <w:rFonts w:cstheme="minorHAnsi"/>
          <w:color w:val="000000" w:themeColor="text1"/>
          <w:sz w:val="22"/>
          <w:szCs w:val="22"/>
        </w:rPr>
        <w:t>We anticipate this will also enable programs to use Tk20 to archive assessment data and to provide a stronger system for maintaining assessment plans and data over time even as program assessment coordinators change within a program.</w:t>
      </w:r>
    </w:p>
    <w:p w14:paraId="35A0689A" w14:textId="645D02C9" w:rsidR="00A95D21" w:rsidRDefault="00A95D2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  </w:t>
      </w:r>
    </w:p>
    <w:p w14:paraId="4000A5CD" w14:textId="38CE6B3F" w:rsidR="006A0C1D" w:rsidRDefault="00A95D2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Through Winter and Spring 2019</w:t>
      </w:r>
      <w:r w:rsidR="00CD7A6F">
        <w:rPr>
          <w:rFonts w:cstheme="minorHAnsi"/>
          <w:color w:val="000000" w:themeColor="text1"/>
          <w:sz w:val="22"/>
          <w:szCs w:val="22"/>
        </w:rPr>
        <w:t xml:space="preserve">, we </w:t>
      </w:r>
      <w:r w:rsidR="00D84DC2">
        <w:rPr>
          <w:rFonts w:cstheme="minorHAnsi"/>
          <w:color w:val="000000" w:themeColor="text1"/>
          <w:sz w:val="22"/>
          <w:szCs w:val="22"/>
        </w:rPr>
        <w:t>plan to</w:t>
      </w:r>
      <w:r w:rsidR="00CD7A6F">
        <w:rPr>
          <w:rFonts w:cstheme="minorHAnsi"/>
          <w:color w:val="000000" w:themeColor="text1"/>
          <w:sz w:val="22"/>
          <w:szCs w:val="22"/>
        </w:rPr>
        <w:t xml:space="preserve"> offer</w:t>
      </w:r>
      <w:r>
        <w:rPr>
          <w:rFonts w:cstheme="minorHAnsi"/>
          <w:color w:val="000000" w:themeColor="text1"/>
          <w:sz w:val="22"/>
          <w:szCs w:val="22"/>
        </w:rPr>
        <w:t xml:space="preserve"> regular opportunities for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6A0C1D">
        <w:rPr>
          <w:rFonts w:cstheme="minorHAnsi"/>
          <w:color w:val="000000" w:themeColor="text1"/>
          <w:sz w:val="22"/>
          <w:szCs w:val="22"/>
        </w:rPr>
        <w:t xml:space="preserve"> training</w:t>
      </w:r>
      <w:r w:rsidR="00DC3D06">
        <w:rPr>
          <w:rFonts w:cstheme="minorHAnsi"/>
          <w:color w:val="000000" w:themeColor="text1"/>
          <w:sz w:val="22"/>
          <w:szCs w:val="22"/>
        </w:rPr>
        <w:t xml:space="preserve"> (weekly one-hour sessions held at different days and times to optimize the ability of all faculty to attend). These sessions will accomplish </w:t>
      </w:r>
      <w:r w:rsidR="00CD7A6F">
        <w:rPr>
          <w:rFonts w:cstheme="minorHAnsi"/>
          <w:color w:val="000000" w:themeColor="text1"/>
          <w:sz w:val="22"/>
          <w:szCs w:val="22"/>
        </w:rPr>
        <w:t xml:space="preserve">several </w:t>
      </w:r>
      <w:r w:rsidR="00DC3D06">
        <w:rPr>
          <w:rFonts w:cstheme="minorHAnsi"/>
          <w:color w:val="000000" w:themeColor="text1"/>
          <w:sz w:val="22"/>
          <w:szCs w:val="22"/>
        </w:rPr>
        <w:t xml:space="preserve">goals: 1) identification of all program reporters needing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DC3D06">
        <w:rPr>
          <w:rFonts w:cstheme="minorHAnsi"/>
          <w:color w:val="000000" w:themeColor="text1"/>
          <w:sz w:val="22"/>
          <w:szCs w:val="22"/>
        </w:rPr>
        <w:t xml:space="preserve"> access, 2) training of program reporters in effective use of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DC3D06">
        <w:rPr>
          <w:rFonts w:cstheme="minorHAnsi"/>
          <w:color w:val="000000" w:themeColor="text1"/>
          <w:sz w:val="22"/>
          <w:szCs w:val="22"/>
        </w:rPr>
        <w:t>,</w:t>
      </w:r>
      <w:r w:rsidR="00AB438F">
        <w:rPr>
          <w:rFonts w:cstheme="minorHAnsi"/>
          <w:color w:val="000000" w:themeColor="text1"/>
          <w:sz w:val="22"/>
          <w:szCs w:val="22"/>
        </w:rPr>
        <w:t xml:space="preserve"> including clarification of data management plans</w:t>
      </w:r>
      <w:r w:rsidR="00DC3D06">
        <w:rPr>
          <w:rFonts w:cstheme="minorHAnsi"/>
          <w:color w:val="000000" w:themeColor="text1"/>
          <w:sz w:val="22"/>
          <w:szCs w:val="22"/>
        </w:rPr>
        <w:t xml:space="preserve"> 3) gathering of information from program reporters regarding their needs to better use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DC3D06">
        <w:rPr>
          <w:rFonts w:cstheme="minorHAnsi"/>
          <w:color w:val="000000" w:themeColor="text1"/>
          <w:sz w:val="22"/>
          <w:szCs w:val="22"/>
        </w:rPr>
        <w:t xml:space="preserve"> to gather, organize and report assessment information</w:t>
      </w:r>
      <w:r w:rsidR="00CD7A6F">
        <w:rPr>
          <w:rFonts w:cstheme="minorHAnsi"/>
          <w:color w:val="000000" w:themeColor="text1"/>
          <w:sz w:val="22"/>
          <w:szCs w:val="22"/>
        </w:rPr>
        <w:t>, and 4) provide program reporters with a greater understanding of how their program fits in the broader assessment picture, and how various outcomes align and support each other</w:t>
      </w:r>
      <w:r w:rsidR="00DC3D06">
        <w:rPr>
          <w:rFonts w:cstheme="minorHAnsi"/>
          <w:color w:val="000000" w:themeColor="text1"/>
          <w:sz w:val="22"/>
          <w:szCs w:val="22"/>
        </w:rPr>
        <w:t xml:space="preserve">. </w:t>
      </w:r>
      <w:r w:rsidR="00DB35D3">
        <w:rPr>
          <w:rFonts w:cstheme="minorHAnsi"/>
          <w:color w:val="000000" w:themeColor="text1"/>
          <w:sz w:val="22"/>
          <w:szCs w:val="22"/>
        </w:rPr>
        <w:t xml:space="preserve">Our goal is for all programs to </w:t>
      </w:r>
      <w:r w:rsidR="00CD7A6F">
        <w:rPr>
          <w:rFonts w:cstheme="minorHAnsi"/>
          <w:color w:val="000000" w:themeColor="text1"/>
          <w:sz w:val="22"/>
          <w:szCs w:val="22"/>
        </w:rPr>
        <w:t xml:space="preserve">enter </w:t>
      </w:r>
      <w:r w:rsidR="00DB35D3">
        <w:rPr>
          <w:rFonts w:cstheme="minorHAnsi"/>
          <w:color w:val="000000" w:themeColor="text1"/>
          <w:sz w:val="22"/>
          <w:szCs w:val="22"/>
        </w:rPr>
        <w:t xml:space="preserve">their assessment plans into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DB35D3">
        <w:rPr>
          <w:rFonts w:cstheme="minorHAnsi"/>
          <w:color w:val="000000" w:themeColor="text1"/>
          <w:sz w:val="22"/>
          <w:szCs w:val="22"/>
        </w:rPr>
        <w:t xml:space="preserve"> for the 2019-20 academic year; individuals who are unable to enter their information can schedule one-on-one appointments for a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DB35D3">
        <w:rPr>
          <w:rFonts w:cstheme="minorHAnsi"/>
          <w:color w:val="000000" w:themeColor="text1"/>
          <w:sz w:val="22"/>
          <w:szCs w:val="22"/>
        </w:rPr>
        <w:t xml:space="preserve"> tutorial so that they are provided the support they need to enter information. </w:t>
      </w:r>
    </w:p>
    <w:p w14:paraId="6B6C4D77" w14:textId="77777777" w:rsidR="00F213A8" w:rsidRDefault="00F213A8" w:rsidP="00AD360C">
      <w:pPr>
        <w:pStyle w:val="Heading2"/>
      </w:pPr>
    </w:p>
    <w:p w14:paraId="24ABD3D4" w14:textId="768249D2" w:rsidR="006568BC" w:rsidRDefault="006568BC" w:rsidP="00AD360C">
      <w:pPr>
        <w:pStyle w:val="Heading2"/>
      </w:pPr>
      <w:r>
        <w:t xml:space="preserve">Strengthen alignment </w:t>
      </w:r>
      <w:r w:rsidR="009C5254">
        <w:t>to</w:t>
      </w:r>
      <w:r>
        <w:t xml:space="preserve"> </w:t>
      </w:r>
      <w:r w:rsidR="00CD7A6F">
        <w:t xml:space="preserve">Undergraduate </w:t>
      </w:r>
      <w:r>
        <w:t>Learning Outcomes</w:t>
      </w:r>
    </w:p>
    <w:p w14:paraId="3626DC4F" w14:textId="46BB0975" w:rsidR="00682130" w:rsidRDefault="00C87F8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The connection to </w:t>
      </w:r>
      <w:r w:rsidR="00CD7A6F">
        <w:rPr>
          <w:rFonts w:cstheme="minorHAnsi"/>
          <w:color w:val="000000" w:themeColor="text1"/>
          <w:sz w:val="22"/>
          <w:szCs w:val="22"/>
        </w:rPr>
        <w:t>ULOs</w:t>
      </w:r>
      <w:r w:rsidR="009C5254">
        <w:rPr>
          <w:rFonts w:cstheme="minorHAnsi"/>
          <w:color w:val="000000" w:themeColor="text1"/>
          <w:sz w:val="22"/>
          <w:szCs w:val="22"/>
        </w:rPr>
        <w:t xml:space="preserve"> in the reports</w:t>
      </w:r>
      <w:r>
        <w:rPr>
          <w:rFonts w:cstheme="minorHAnsi"/>
          <w:color w:val="000000" w:themeColor="text1"/>
          <w:sz w:val="22"/>
          <w:szCs w:val="22"/>
        </w:rPr>
        <w:t xml:space="preserve"> was </w:t>
      </w:r>
      <w:r w:rsidR="00A853A9">
        <w:rPr>
          <w:rFonts w:cstheme="minorHAnsi"/>
          <w:color w:val="000000" w:themeColor="text1"/>
          <w:sz w:val="22"/>
          <w:szCs w:val="22"/>
        </w:rPr>
        <w:t xml:space="preserve">weak in the majority of programs. Some small refinements to assessment </w:t>
      </w:r>
      <w:r w:rsidR="00682130" w:rsidRPr="00AB5C4E">
        <w:rPr>
          <w:rFonts w:cstheme="minorHAnsi"/>
          <w:color w:val="000000" w:themeColor="text1"/>
          <w:sz w:val="22"/>
          <w:szCs w:val="22"/>
        </w:rPr>
        <w:t xml:space="preserve">planning and </w:t>
      </w:r>
      <w:r w:rsidR="00A853A9">
        <w:rPr>
          <w:rFonts w:cstheme="minorHAnsi"/>
          <w:color w:val="000000" w:themeColor="text1"/>
          <w:sz w:val="22"/>
          <w:szCs w:val="22"/>
        </w:rPr>
        <w:t>reporting will</w:t>
      </w:r>
      <w:r w:rsidR="00682130" w:rsidRPr="00AB5C4E">
        <w:rPr>
          <w:rFonts w:cstheme="minorHAnsi"/>
          <w:color w:val="000000" w:themeColor="text1"/>
          <w:sz w:val="22"/>
          <w:szCs w:val="22"/>
        </w:rPr>
        <w:t xml:space="preserve"> optimize information gathering on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 the</w:t>
      </w:r>
      <w:r w:rsidR="00682130" w:rsidRPr="00AB5C4E">
        <w:rPr>
          <w:rFonts w:cstheme="minorHAnsi"/>
          <w:color w:val="000000" w:themeColor="text1"/>
          <w:sz w:val="22"/>
          <w:szCs w:val="22"/>
        </w:rPr>
        <w:t xml:space="preserve"> </w:t>
      </w:r>
      <w:r w:rsidR="00CD7A6F">
        <w:rPr>
          <w:rFonts w:cstheme="minorHAnsi"/>
          <w:color w:val="000000" w:themeColor="text1"/>
          <w:sz w:val="22"/>
          <w:szCs w:val="22"/>
        </w:rPr>
        <w:t>ULOs</w:t>
      </w:r>
      <w:r w:rsidR="009C5254">
        <w:rPr>
          <w:rFonts w:cstheme="minorHAnsi"/>
          <w:color w:val="000000" w:themeColor="text1"/>
          <w:sz w:val="22"/>
          <w:szCs w:val="22"/>
        </w:rPr>
        <w:t xml:space="preserve"> addressed by programs</w:t>
      </w:r>
      <w:r w:rsidR="00C8754D">
        <w:rPr>
          <w:rFonts w:cstheme="minorHAnsi"/>
          <w:color w:val="000000" w:themeColor="text1"/>
          <w:sz w:val="22"/>
          <w:szCs w:val="22"/>
        </w:rPr>
        <w:t>. Currently, the focus on ULO reporting is</w:t>
      </w:r>
      <w:r w:rsidR="001D798F">
        <w:rPr>
          <w:rFonts w:cstheme="minorHAnsi"/>
          <w:color w:val="000000" w:themeColor="text1"/>
          <w:sz w:val="22"/>
          <w:szCs w:val="22"/>
        </w:rPr>
        <w:t xml:space="preserve"> primarily</w:t>
      </w:r>
      <w:r w:rsidR="00C8754D">
        <w:rPr>
          <w:rFonts w:cstheme="minorHAnsi"/>
          <w:color w:val="000000" w:themeColor="text1"/>
          <w:sz w:val="22"/>
          <w:szCs w:val="22"/>
        </w:rPr>
        <w:t xml:space="preserve"> via P</w:t>
      </w:r>
      <w:r w:rsidR="001D798F">
        <w:rPr>
          <w:rFonts w:cstheme="minorHAnsi"/>
          <w:color w:val="000000" w:themeColor="text1"/>
          <w:sz w:val="22"/>
          <w:szCs w:val="22"/>
        </w:rPr>
        <w:t xml:space="preserve">rofessional </w:t>
      </w:r>
      <w:r w:rsidR="00C8754D">
        <w:rPr>
          <w:rFonts w:cstheme="minorHAnsi"/>
          <w:color w:val="000000" w:themeColor="text1"/>
          <w:sz w:val="22"/>
          <w:szCs w:val="22"/>
        </w:rPr>
        <w:t>L</w:t>
      </w:r>
      <w:r w:rsidR="001D798F">
        <w:rPr>
          <w:rFonts w:cstheme="minorHAnsi"/>
          <w:color w:val="000000" w:themeColor="text1"/>
          <w:sz w:val="22"/>
          <w:szCs w:val="22"/>
        </w:rPr>
        <w:t xml:space="preserve">earning </w:t>
      </w:r>
      <w:r w:rsidR="00C8754D">
        <w:rPr>
          <w:rFonts w:cstheme="minorHAnsi"/>
          <w:color w:val="000000" w:themeColor="text1"/>
          <w:sz w:val="22"/>
          <w:szCs w:val="22"/>
        </w:rPr>
        <w:t>C</w:t>
      </w:r>
      <w:r w:rsidR="001D798F">
        <w:rPr>
          <w:rFonts w:cstheme="minorHAnsi"/>
          <w:color w:val="000000" w:themeColor="text1"/>
          <w:sz w:val="22"/>
          <w:szCs w:val="22"/>
        </w:rPr>
        <w:t>ommunity</w:t>
      </w:r>
      <w:r w:rsidR="00C8754D">
        <w:rPr>
          <w:rFonts w:cstheme="minorHAnsi"/>
          <w:color w:val="000000" w:themeColor="text1"/>
          <w:sz w:val="22"/>
          <w:szCs w:val="22"/>
        </w:rPr>
        <w:t xml:space="preserve"> data collection on courses that have identified alignment to ULOs. This has potentially encouraged a disconnect between program assessment and ULO assessment. Althoug</w:t>
      </w:r>
      <w:r w:rsidR="00DF31B3">
        <w:rPr>
          <w:rFonts w:cstheme="minorHAnsi"/>
          <w:color w:val="000000" w:themeColor="text1"/>
          <w:sz w:val="22"/>
          <w:szCs w:val="22"/>
        </w:rPr>
        <w:t>h</w:t>
      </w:r>
      <w:r w:rsidR="00C8754D">
        <w:rPr>
          <w:rFonts w:cstheme="minorHAnsi"/>
          <w:color w:val="000000" w:themeColor="text1"/>
          <w:sz w:val="22"/>
          <w:szCs w:val="22"/>
        </w:rPr>
        <w:t xml:space="preserve"> </w:t>
      </w:r>
      <w:r w:rsidR="00C8754D">
        <w:rPr>
          <w:rFonts w:cstheme="minorHAnsi"/>
          <w:color w:val="000000" w:themeColor="text1"/>
          <w:sz w:val="22"/>
          <w:szCs w:val="22"/>
        </w:rPr>
        <w:lastRenderedPageBreak/>
        <w:t xml:space="preserve">programs are also required to align at least one program outcome to ULOs very few </w:t>
      </w:r>
      <w:r w:rsidR="00B315C8">
        <w:rPr>
          <w:rFonts w:cstheme="minorHAnsi"/>
          <w:color w:val="000000" w:themeColor="text1"/>
          <w:sz w:val="22"/>
          <w:szCs w:val="22"/>
        </w:rPr>
        <w:t>described exploring this in their reports</w:t>
      </w:r>
      <w:r w:rsidR="00C8754D">
        <w:rPr>
          <w:rFonts w:cstheme="minorHAnsi"/>
          <w:color w:val="000000" w:themeColor="text1"/>
          <w:sz w:val="22"/>
          <w:szCs w:val="22"/>
        </w:rPr>
        <w:t>. The addition of a required report</w:t>
      </w:r>
      <w:r w:rsidR="00B315C8">
        <w:rPr>
          <w:rFonts w:cstheme="minorHAnsi"/>
          <w:color w:val="000000" w:themeColor="text1"/>
          <w:sz w:val="22"/>
          <w:szCs w:val="22"/>
        </w:rPr>
        <w:t>ing element</w:t>
      </w:r>
      <w:r w:rsidR="00C8754D">
        <w:rPr>
          <w:rFonts w:cstheme="minorHAnsi"/>
          <w:color w:val="000000" w:themeColor="text1"/>
          <w:sz w:val="22"/>
          <w:szCs w:val="22"/>
        </w:rPr>
        <w:t xml:space="preserve"> on ULO alignment, data collection, and decision making specific to the ULO identified by a program will make it easier and more transparent for programs to report on their work with ULOs</w:t>
      </w:r>
      <w:r w:rsidR="00DF31B3">
        <w:rPr>
          <w:rFonts w:cstheme="minorHAnsi"/>
          <w:color w:val="000000" w:themeColor="text1"/>
          <w:sz w:val="22"/>
          <w:szCs w:val="22"/>
        </w:rPr>
        <w:t xml:space="preserve"> as relate</w:t>
      </w:r>
      <w:r w:rsidR="009B6E3F">
        <w:rPr>
          <w:rFonts w:cstheme="minorHAnsi"/>
          <w:color w:val="000000" w:themeColor="text1"/>
          <w:sz w:val="22"/>
          <w:szCs w:val="22"/>
        </w:rPr>
        <w:t>d</w:t>
      </w:r>
      <w:r w:rsidR="00DF31B3">
        <w:rPr>
          <w:rFonts w:cstheme="minorHAnsi"/>
          <w:color w:val="000000" w:themeColor="text1"/>
          <w:sz w:val="22"/>
          <w:szCs w:val="22"/>
        </w:rPr>
        <w:t xml:space="preserve"> to their program learning outcomes</w:t>
      </w:r>
      <w:r w:rsidR="00C8754D">
        <w:rPr>
          <w:rFonts w:cstheme="minorHAnsi"/>
          <w:color w:val="000000" w:themeColor="text1"/>
          <w:sz w:val="22"/>
          <w:szCs w:val="22"/>
        </w:rPr>
        <w:t xml:space="preserve">. </w:t>
      </w:r>
      <w:r w:rsidR="007A059B">
        <w:rPr>
          <w:rFonts w:cstheme="minorHAnsi"/>
          <w:color w:val="000000" w:themeColor="text1"/>
          <w:sz w:val="22"/>
          <w:szCs w:val="22"/>
        </w:rPr>
        <w:t xml:space="preserve">The majority of programs that did describe explicit ULO alignment identified Inquiry and Analysis, likely because Inquiry and Analysis was a targeted ULO for PLC reporting this year. It would be fairly straightforward to take advantage of both current practices by asking all programs that have a program learning outcome aligned to a particular ULO to focus on that ULO </w:t>
      </w:r>
      <w:r w:rsidR="00F5587B">
        <w:rPr>
          <w:rFonts w:cstheme="minorHAnsi"/>
          <w:color w:val="000000" w:themeColor="text1"/>
          <w:sz w:val="22"/>
          <w:szCs w:val="22"/>
        </w:rPr>
        <w:t xml:space="preserve">as a cohesive annual effort, much as has been established by PLC practice. </w:t>
      </w:r>
      <w:r w:rsidR="00521DFD">
        <w:rPr>
          <w:rFonts w:cstheme="minorHAnsi"/>
          <w:color w:val="000000" w:themeColor="text1"/>
          <w:sz w:val="22"/>
          <w:szCs w:val="22"/>
        </w:rPr>
        <w:t xml:space="preserve">This would also allow for the continued use of PLCs </w:t>
      </w:r>
      <w:r w:rsidR="00995227">
        <w:rPr>
          <w:rFonts w:cstheme="minorHAnsi"/>
          <w:color w:val="000000" w:themeColor="text1"/>
          <w:sz w:val="22"/>
          <w:szCs w:val="22"/>
        </w:rPr>
        <w:t xml:space="preserve">as an element of </w:t>
      </w:r>
      <w:r w:rsidR="00521DFD">
        <w:rPr>
          <w:rFonts w:cstheme="minorHAnsi"/>
          <w:color w:val="000000" w:themeColor="text1"/>
          <w:sz w:val="22"/>
          <w:szCs w:val="22"/>
        </w:rPr>
        <w:t>General Education assessment</w:t>
      </w:r>
      <w:r w:rsidR="00A4272A">
        <w:rPr>
          <w:rFonts w:cstheme="minorHAnsi"/>
          <w:color w:val="000000" w:themeColor="text1"/>
          <w:sz w:val="22"/>
          <w:szCs w:val="22"/>
        </w:rPr>
        <w:t xml:space="preserve"> while capturing broader ULO </w:t>
      </w:r>
      <w:r w:rsidR="00BE125D">
        <w:rPr>
          <w:rFonts w:cstheme="minorHAnsi"/>
          <w:color w:val="000000" w:themeColor="text1"/>
          <w:sz w:val="22"/>
          <w:szCs w:val="22"/>
        </w:rPr>
        <w:t>assessment via program assessment</w:t>
      </w:r>
      <w:r w:rsidR="00A4272A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02192F22" w14:textId="77777777" w:rsidR="00320A8F" w:rsidRDefault="00320A8F">
      <w:pPr>
        <w:rPr>
          <w:rFonts w:cstheme="minorHAnsi"/>
          <w:color w:val="000000" w:themeColor="text1"/>
          <w:sz w:val="22"/>
          <w:szCs w:val="22"/>
        </w:rPr>
      </w:pPr>
    </w:p>
    <w:p w14:paraId="0C79C12B" w14:textId="4D3A2C1F" w:rsidR="009C188C" w:rsidRDefault="00356C18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The biggest shortfall in program assessment reporting was the lack of information on how specific courses </w:t>
      </w:r>
      <w:r w:rsidR="00242DD6">
        <w:rPr>
          <w:rFonts w:cstheme="minorHAnsi"/>
          <w:color w:val="000000" w:themeColor="text1"/>
          <w:sz w:val="22"/>
          <w:szCs w:val="22"/>
        </w:rPr>
        <w:t>i</w:t>
      </w:r>
      <w:r w:rsidR="009C188C">
        <w:rPr>
          <w:rFonts w:cstheme="minorHAnsi"/>
          <w:color w:val="000000" w:themeColor="text1"/>
          <w:sz w:val="22"/>
          <w:szCs w:val="22"/>
        </w:rPr>
        <w:t xml:space="preserve">ntegrate into </w:t>
      </w:r>
      <w:r w:rsidR="00242DD6">
        <w:rPr>
          <w:rFonts w:cstheme="minorHAnsi"/>
          <w:color w:val="000000" w:themeColor="text1"/>
          <w:sz w:val="22"/>
          <w:szCs w:val="22"/>
        </w:rPr>
        <w:t>p</w:t>
      </w:r>
      <w:r w:rsidR="009C188C">
        <w:rPr>
          <w:rFonts w:cstheme="minorHAnsi"/>
          <w:color w:val="000000" w:themeColor="text1"/>
          <w:sz w:val="22"/>
          <w:szCs w:val="22"/>
        </w:rPr>
        <w:t xml:space="preserve">rogram </w:t>
      </w:r>
      <w:r>
        <w:rPr>
          <w:rFonts w:cstheme="minorHAnsi"/>
          <w:color w:val="000000" w:themeColor="text1"/>
          <w:sz w:val="22"/>
          <w:szCs w:val="22"/>
        </w:rPr>
        <w:t xml:space="preserve">fulfillment. Most programs focused on a capstone project, exit exam, or </w:t>
      </w:r>
      <w:r w:rsidR="00D874B9">
        <w:rPr>
          <w:rFonts w:cstheme="minorHAnsi"/>
          <w:color w:val="000000" w:themeColor="text1"/>
          <w:sz w:val="22"/>
          <w:szCs w:val="22"/>
        </w:rPr>
        <w:t xml:space="preserve">single upper division class. </w:t>
      </w:r>
      <w:r w:rsidR="00A404C1">
        <w:rPr>
          <w:rFonts w:cstheme="minorHAnsi"/>
          <w:color w:val="000000" w:themeColor="text1"/>
          <w:sz w:val="22"/>
          <w:szCs w:val="22"/>
        </w:rPr>
        <w:t xml:space="preserve">No program described how multiple </w:t>
      </w:r>
      <w:r w:rsidR="00FC3761">
        <w:rPr>
          <w:rFonts w:cstheme="minorHAnsi"/>
          <w:color w:val="000000" w:themeColor="text1"/>
          <w:sz w:val="22"/>
          <w:szCs w:val="22"/>
        </w:rPr>
        <w:t>courses</w:t>
      </w:r>
      <w:r w:rsidR="00A404C1">
        <w:rPr>
          <w:rFonts w:cstheme="minorHAnsi"/>
          <w:color w:val="000000" w:themeColor="text1"/>
          <w:sz w:val="22"/>
          <w:szCs w:val="22"/>
        </w:rPr>
        <w:t xml:space="preserve"> aligned to a particular program outcome or identified integrated course planning to meet learning outcomes. Ultimately, we should be working to using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A404C1">
        <w:rPr>
          <w:rFonts w:cstheme="minorHAnsi"/>
          <w:color w:val="000000" w:themeColor="text1"/>
          <w:sz w:val="22"/>
          <w:szCs w:val="22"/>
        </w:rPr>
        <w:t xml:space="preserve"> to </w:t>
      </w:r>
      <w:r w:rsidR="009F4AEA">
        <w:rPr>
          <w:rFonts w:cstheme="minorHAnsi"/>
          <w:color w:val="000000" w:themeColor="text1"/>
          <w:sz w:val="22"/>
          <w:szCs w:val="22"/>
        </w:rPr>
        <w:t xml:space="preserve">provide for course assessment as a component of program assessment, but a small first step should be to include a required </w:t>
      </w:r>
      <w:r w:rsidR="006711EA">
        <w:rPr>
          <w:rFonts w:cstheme="minorHAnsi"/>
          <w:color w:val="000000" w:themeColor="text1"/>
          <w:sz w:val="22"/>
          <w:szCs w:val="22"/>
        </w:rPr>
        <w:t>element</w:t>
      </w:r>
      <w:r w:rsidR="009F4AEA">
        <w:rPr>
          <w:rFonts w:cstheme="minorHAnsi"/>
          <w:color w:val="000000" w:themeColor="text1"/>
          <w:sz w:val="22"/>
          <w:szCs w:val="22"/>
        </w:rPr>
        <w:t xml:space="preserve"> in </w:t>
      </w:r>
      <w:r w:rsidR="008B0EBD">
        <w:rPr>
          <w:rFonts w:cstheme="minorHAnsi"/>
          <w:color w:val="000000" w:themeColor="text1"/>
          <w:sz w:val="22"/>
          <w:szCs w:val="22"/>
        </w:rPr>
        <w:t>Tk20</w:t>
      </w:r>
      <w:r w:rsidR="006711EA">
        <w:rPr>
          <w:rFonts w:cstheme="minorHAnsi"/>
          <w:color w:val="000000" w:themeColor="text1"/>
          <w:sz w:val="22"/>
          <w:szCs w:val="22"/>
        </w:rPr>
        <w:t xml:space="preserve"> to</w:t>
      </w:r>
      <w:r w:rsidR="00302792">
        <w:rPr>
          <w:rFonts w:cstheme="minorHAnsi"/>
          <w:color w:val="000000" w:themeColor="text1"/>
          <w:sz w:val="22"/>
          <w:szCs w:val="22"/>
        </w:rPr>
        <w:t xml:space="preserve"> identify all classes that align to the learning outcome under assessment for the year. </w:t>
      </w:r>
      <w:r w:rsidR="00901487">
        <w:rPr>
          <w:rFonts w:cstheme="minorHAnsi"/>
          <w:color w:val="000000" w:themeColor="text1"/>
          <w:sz w:val="22"/>
          <w:szCs w:val="22"/>
        </w:rPr>
        <w:t xml:space="preserve">In the next round of reporting we </w:t>
      </w:r>
      <w:r w:rsidR="006711EA">
        <w:rPr>
          <w:rFonts w:cstheme="minorHAnsi"/>
          <w:color w:val="000000" w:themeColor="text1"/>
          <w:sz w:val="22"/>
          <w:szCs w:val="22"/>
        </w:rPr>
        <w:t>might</w:t>
      </w:r>
      <w:r w:rsidR="00901487">
        <w:rPr>
          <w:rFonts w:cstheme="minorHAnsi"/>
          <w:color w:val="000000" w:themeColor="text1"/>
          <w:sz w:val="22"/>
          <w:szCs w:val="22"/>
        </w:rPr>
        <w:t xml:space="preserve"> 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also </w:t>
      </w:r>
      <w:r w:rsidR="00901487">
        <w:rPr>
          <w:rFonts w:cstheme="minorHAnsi"/>
          <w:color w:val="000000" w:themeColor="text1"/>
          <w:sz w:val="22"/>
          <w:szCs w:val="22"/>
        </w:rPr>
        <w:t xml:space="preserve">ask for identification of the assignment(s) used to assess that outcome. </w:t>
      </w:r>
      <w:r w:rsidR="00B32AC3">
        <w:rPr>
          <w:rFonts w:cstheme="minorHAnsi"/>
          <w:color w:val="000000" w:themeColor="text1"/>
          <w:sz w:val="22"/>
          <w:szCs w:val="22"/>
        </w:rPr>
        <w:t>The next step would be to</w:t>
      </w:r>
      <w:r w:rsidR="00901487">
        <w:rPr>
          <w:rFonts w:cstheme="minorHAnsi"/>
          <w:color w:val="000000" w:themeColor="text1"/>
          <w:sz w:val="22"/>
          <w:szCs w:val="22"/>
        </w:rPr>
        <w:t xml:space="preserve"> request the student assessment data (i.e. typical student performance) on the assignment for each course that aligns to the outcome. </w:t>
      </w:r>
      <w:r w:rsidR="004B1265">
        <w:rPr>
          <w:rFonts w:cstheme="minorHAnsi"/>
          <w:color w:val="000000" w:themeColor="text1"/>
          <w:sz w:val="22"/>
          <w:szCs w:val="22"/>
        </w:rPr>
        <w:t>By taking these modest steps one at a time, we</w:t>
      </w:r>
      <w:r w:rsidR="00302792">
        <w:rPr>
          <w:rFonts w:cstheme="minorHAnsi"/>
          <w:color w:val="000000" w:themeColor="text1"/>
          <w:sz w:val="22"/>
          <w:szCs w:val="22"/>
        </w:rPr>
        <w:t xml:space="preserve"> would work toward reporting on </w:t>
      </w:r>
      <w:r w:rsidR="00AD639F">
        <w:rPr>
          <w:rFonts w:cstheme="minorHAnsi"/>
          <w:color w:val="000000" w:themeColor="text1"/>
          <w:sz w:val="22"/>
          <w:szCs w:val="22"/>
        </w:rPr>
        <w:t>each</w:t>
      </w:r>
      <w:r w:rsidR="00302792">
        <w:rPr>
          <w:rFonts w:cstheme="minorHAnsi"/>
          <w:color w:val="000000" w:themeColor="text1"/>
          <w:sz w:val="22"/>
          <w:szCs w:val="22"/>
        </w:rPr>
        <w:t xml:space="preserve"> learning outcome </w:t>
      </w:r>
      <w:r w:rsidR="00AD639F">
        <w:rPr>
          <w:rFonts w:cstheme="minorHAnsi"/>
          <w:color w:val="000000" w:themeColor="text1"/>
          <w:sz w:val="22"/>
          <w:szCs w:val="22"/>
        </w:rPr>
        <w:t>with consideration of how classes contribute</w:t>
      </w:r>
      <w:r w:rsidR="00302792">
        <w:rPr>
          <w:rFonts w:cstheme="minorHAnsi"/>
          <w:color w:val="000000" w:themeColor="text1"/>
          <w:sz w:val="22"/>
          <w:szCs w:val="22"/>
        </w:rPr>
        <w:t xml:space="preserve"> as we continue to build our culture of assessment. </w:t>
      </w:r>
    </w:p>
    <w:p w14:paraId="11FD8647" w14:textId="77777777" w:rsidR="00243C6A" w:rsidRDefault="00243C6A" w:rsidP="00AD360C">
      <w:pPr>
        <w:pStyle w:val="Heading2"/>
      </w:pPr>
    </w:p>
    <w:p w14:paraId="3C46CB8E" w14:textId="6021F694" w:rsidR="006F1D01" w:rsidRDefault="00B83E65" w:rsidP="00AD360C">
      <w:pPr>
        <w:pStyle w:val="Heading2"/>
      </w:pPr>
      <w:r>
        <w:t xml:space="preserve">Clarify assessment planning and reporting practice to ease reporting and </w:t>
      </w:r>
      <w:r w:rsidR="00465E6A">
        <w:t xml:space="preserve">enable </w:t>
      </w:r>
      <w:r>
        <w:t xml:space="preserve">analysis of University-wide assessment. </w:t>
      </w:r>
    </w:p>
    <w:p w14:paraId="7D44D2A2" w14:textId="26B28D2D" w:rsidR="002817AE" w:rsidRDefault="008B0EBD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Tk20</w:t>
      </w:r>
      <w:r w:rsidR="00031593">
        <w:rPr>
          <w:rFonts w:cstheme="minorHAnsi"/>
          <w:color w:val="000000" w:themeColor="text1"/>
          <w:sz w:val="22"/>
          <w:szCs w:val="22"/>
        </w:rPr>
        <w:t xml:space="preserve"> reporting was built around a historic assessment form to ease the transition from the previous reporting mechanism to </w:t>
      </w:r>
      <w:r>
        <w:rPr>
          <w:rFonts w:cstheme="minorHAnsi"/>
          <w:color w:val="000000" w:themeColor="text1"/>
          <w:sz w:val="22"/>
          <w:szCs w:val="22"/>
        </w:rPr>
        <w:t>Tk20</w:t>
      </w:r>
      <w:r w:rsidR="00031593">
        <w:rPr>
          <w:rFonts w:cstheme="minorHAnsi"/>
          <w:color w:val="000000" w:themeColor="text1"/>
          <w:sz w:val="22"/>
          <w:szCs w:val="22"/>
        </w:rPr>
        <w:t xml:space="preserve"> use</w:t>
      </w:r>
      <w:r w:rsidR="00013C75">
        <w:rPr>
          <w:rFonts w:cstheme="minorHAnsi"/>
          <w:color w:val="000000" w:themeColor="text1"/>
          <w:sz w:val="22"/>
          <w:szCs w:val="22"/>
        </w:rPr>
        <w:t>, but these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 forms</w:t>
      </w:r>
      <w:r w:rsidR="00013C75">
        <w:rPr>
          <w:rFonts w:cstheme="minorHAnsi"/>
          <w:color w:val="000000" w:themeColor="text1"/>
          <w:sz w:val="22"/>
          <w:szCs w:val="22"/>
        </w:rPr>
        <w:t xml:space="preserve"> are fairly scant and programs use them in a variety of different ways</w:t>
      </w:r>
      <w:r w:rsidR="00031593">
        <w:rPr>
          <w:rFonts w:cstheme="minorHAnsi"/>
          <w:color w:val="000000" w:themeColor="text1"/>
          <w:sz w:val="22"/>
          <w:szCs w:val="22"/>
        </w:rPr>
        <w:t>.</w:t>
      </w:r>
      <w:r w:rsidR="003157C3">
        <w:rPr>
          <w:rFonts w:cstheme="minorHAnsi"/>
          <w:color w:val="000000" w:themeColor="text1"/>
          <w:sz w:val="22"/>
          <w:szCs w:val="22"/>
        </w:rPr>
        <w:t xml:space="preserve"> Graduate programs all build reports based around their various accreditation or professional preparation requirements.</w:t>
      </w:r>
      <w:r w:rsidR="003A33AA">
        <w:rPr>
          <w:rFonts w:cstheme="minorHAnsi"/>
          <w:color w:val="000000" w:themeColor="text1"/>
          <w:sz w:val="22"/>
          <w:szCs w:val="22"/>
        </w:rPr>
        <w:t xml:space="preserve"> It is thus somewhat challenging to identify and describe institutional trends based upon program assessment reports.</w:t>
      </w:r>
      <w:r w:rsidR="00031593">
        <w:rPr>
          <w:rFonts w:cstheme="minorHAnsi"/>
          <w:color w:val="000000" w:themeColor="text1"/>
          <w:sz w:val="22"/>
          <w:szCs w:val="22"/>
        </w:rPr>
        <w:t xml:space="preserve"> </w:t>
      </w:r>
      <w:r w:rsidR="005B0EE1">
        <w:rPr>
          <w:rFonts w:cstheme="minorHAnsi"/>
          <w:color w:val="000000" w:themeColor="text1"/>
          <w:sz w:val="22"/>
          <w:szCs w:val="22"/>
        </w:rPr>
        <w:t xml:space="preserve">By making some modest adjustments 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the </w:t>
      </w:r>
      <w:r w:rsidR="005B0EE1">
        <w:rPr>
          <w:rFonts w:cstheme="minorHAnsi"/>
          <w:color w:val="000000" w:themeColor="text1"/>
          <w:sz w:val="22"/>
          <w:szCs w:val="22"/>
        </w:rPr>
        <w:t xml:space="preserve">forms that programs use to 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plan and report </w:t>
      </w:r>
      <w:r w:rsidR="005B0EE1">
        <w:rPr>
          <w:rFonts w:cstheme="minorHAnsi"/>
          <w:color w:val="000000" w:themeColor="text1"/>
          <w:sz w:val="22"/>
          <w:szCs w:val="22"/>
        </w:rPr>
        <w:t xml:space="preserve">their work, </w:t>
      </w:r>
      <w:r w:rsidR="008B6D8B">
        <w:rPr>
          <w:rFonts w:cstheme="minorHAnsi"/>
          <w:color w:val="000000" w:themeColor="text1"/>
          <w:sz w:val="22"/>
          <w:szCs w:val="22"/>
        </w:rPr>
        <w:t xml:space="preserve">we can refine and align the reporting process. </w:t>
      </w:r>
      <w:r w:rsidR="0030687A">
        <w:rPr>
          <w:rFonts w:cstheme="minorHAnsi"/>
          <w:color w:val="000000" w:themeColor="text1"/>
          <w:sz w:val="22"/>
          <w:szCs w:val="22"/>
        </w:rPr>
        <w:t xml:space="preserve">These adjustments include strengthening the connections to Undergraduate (or Graduate) </w:t>
      </w:r>
      <w:r w:rsidR="00941601">
        <w:rPr>
          <w:rFonts w:cstheme="minorHAnsi"/>
          <w:color w:val="000000" w:themeColor="text1"/>
          <w:sz w:val="22"/>
          <w:szCs w:val="22"/>
        </w:rPr>
        <w:t>Learning Outcomes</w:t>
      </w:r>
      <w:r w:rsidR="009C3CFA">
        <w:rPr>
          <w:rFonts w:cstheme="minorHAnsi"/>
          <w:color w:val="000000" w:themeColor="text1"/>
          <w:sz w:val="22"/>
          <w:szCs w:val="22"/>
        </w:rPr>
        <w:t xml:space="preserve"> and clarifying classes aligned to outcomes</w:t>
      </w:r>
      <w:r w:rsidR="009B6E3F">
        <w:rPr>
          <w:rFonts w:cstheme="minorHAnsi"/>
          <w:color w:val="000000" w:themeColor="text1"/>
          <w:sz w:val="22"/>
          <w:szCs w:val="22"/>
        </w:rPr>
        <w:t>,</w:t>
      </w:r>
      <w:r w:rsidR="009C3CFA">
        <w:rPr>
          <w:rFonts w:cstheme="minorHAnsi"/>
          <w:color w:val="000000" w:themeColor="text1"/>
          <w:sz w:val="22"/>
          <w:szCs w:val="22"/>
        </w:rPr>
        <w:t xml:space="preserve"> as outlined above. </w:t>
      </w:r>
    </w:p>
    <w:p w14:paraId="0B357F22" w14:textId="77777777" w:rsidR="00790F2C" w:rsidRDefault="00790F2C" w:rsidP="00AD360C">
      <w:pPr>
        <w:rPr>
          <w:rFonts w:cstheme="minorHAnsi"/>
          <w:color w:val="000000" w:themeColor="text1"/>
          <w:sz w:val="22"/>
          <w:szCs w:val="22"/>
        </w:rPr>
      </w:pPr>
    </w:p>
    <w:p w14:paraId="7A2F8278" w14:textId="396C15BA" w:rsidR="009B6E3F" w:rsidRDefault="00790F2C" w:rsidP="00AD360C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One of the strongest elements of program reporting was the identification</w:t>
      </w:r>
      <w:r w:rsidR="009B6E3F">
        <w:rPr>
          <w:rFonts w:cstheme="minorHAnsi"/>
          <w:color w:val="000000" w:themeColor="text1"/>
          <w:sz w:val="22"/>
          <w:szCs w:val="22"/>
        </w:rPr>
        <w:t>,</w:t>
      </w:r>
      <w:r>
        <w:rPr>
          <w:rFonts w:cstheme="minorHAnsi"/>
          <w:color w:val="000000" w:themeColor="text1"/>
          <w:sz w:val="22"/>
          <w:szCs w:val="22"/>
        </w:rPr>
        <w:t xml:space="preserve"> by a variety of programs</w:t>
      </w:r>
      <w:r w:rsidR="009B6E3F">
        <w:rPr>
          <w:rFonts w:cstheme="minorHAnsi"/>
          <w:color w:val="000000" w:themeColor="text1"/>
          <w:sz w:val="22"/>
          <w:szCs w:val="22"/>
        </w:rPr>
        <w:t>,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9B6E3F">
        <w:rPr>
          <w:rFonts w:cstheme="minorHAnsi"/>
          <w:color w:val="000000" w:themeColor="text1"/>
          <w:sz w:val="22"/>
          <w:szCs w:val="22"/>
        </w:rPr>
        <w:t>of</w:t>
      </w:r>
      <w:r>
        <w:rPr>
          <w:rFonts w:cstheme="minorHAnsi"/>
          <w:color w:val="000000" w:themeColor="text1"/>
          <w:sz w:val="22"/>
          <w:szCs w:val="22"/>
        </w:rPr>
        <w:t xml:space="preserve"> shortcomings 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in </w:t>
      </w:r>
      <w:r>
        <w:rPr>
          <w:rFonts w:cstheme="minorHAnsi"/>
          <w:color w:val="000000" w:themeColor="text1"/>
          <w:sz w:val="22"/>
          <w:szCs w:val="22"/>
        </w:rPr>
        <w:t>their outcomes and assessment plans</w:t>
      </w:r>
      <w:r w:rsidR="009B6E3F">
        <w:rPr>
          <w:rFonts w:cstheme="minorHAnsi"/>
          <w:color w:val="000000" w:themeColor="text1"/>
          <w:sz w:val="22"/>
          <w:szCs w:val="22"/>
        </w:rPr>
        <w:t>,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as well as </w:t>
      </w:r>
      <w:r>
        <w:rPr>
          <w:rFonts w:cstheme="minorHAnsi"/>
          <w:color w:val="000000" w:themeColor="text1"/>
          <w:sz w:val="22"/>
          <w:szCs w:val="22"/>
        </w:rPr>
        <w:t xml:space="preserve">the relatively high proportion </w:t>
      </w:r>
      <w:r w:rsidR="0074228C">
        <w:rPr>
          <w:rFonts w:cstheme="minorHAnsi"/>
          <w:color w:val="000000" w:themeColor="text1"/>
          <w:sz w:val="22"/>
          <w:szCs w:val="22"/>
        </w:rPr>
        <w:t xml:space="preserve">of programs that did describe outcome-driven curricular planning. </w:t>
      </w:r>
      <w:r w:rsidR="008B4B07">
        <w:rPr>
          <w:rFonts w:cstheme="minorHAnsi"/>
          <w:color w:val="000000" w:themeColor="text1"/>
          <w:sz w:val="22"/>
          <w:szCs w:val="22"/>
        </w:rPr>
        <w:t xml:space="preserve">This reflective practice indicates that the time is </w:t>
      </w:r>
      <w:r w:rsidR="008B4B07" w:rsidRPr="008B4B07">
        <w:rPr>
          <w:rFonts w:cstheme="minorHAnsi"/>
          <w:color w:val="000000" w:themeColor="text1"/>
          <w:sz w:val="22"/>
          <w:szCs w:val="22"/>
        </w:rPr>
        <w:t xml:space="preserve">ripe to provide opportunities for faculty to come together and learn from the program assessment reports of their colleagues. </w:t>
      </w:r>
    </w:p>
    <w:p w14:paraId="66059641" w14:textId="10061B77" w:rsidR="009B6E3F" w:rsidRDefault="009B6E3F" w:rsidP="00AD360C">
      <w:pPr>
        <w:rPr>
          <w:rFonts w:cstheme="minorHAnsi"/>
          <w:color w:val="000000" w:themeColor="text1"/>
          <w:sz w:val="22"/>
          <w:szCs w:val="22"/>
        </w:rPr>
      </w:pPr>
    </w:p>
    <w:p w14:paraId="54FDA0F6" w14:textId="62F9618B" w:rsidR="006568BC" w:rsidRPr="00AB5C4E" w:rsidRDefault="00896454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lastRenderedPageBreak/>
        <w:t>WOU needs to support a professional development</w:t>
      </w:r>
      <w:r w:rsidR="000006B8">
        <w:rPr>
          <w:rFonts w:cstheme="minorHAnsi"/>
          <w:color w:val="000000" w:themeColor="text1"/>
          <w:sz w:val="22"/>
          <w:szCs w:val="22"/>
        </w:rPr>
        <w:t xml:space="preserve"> day that allows faculty to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 not only</w:t>
      </w:r>
      <w:r w:rsidR="000006B8">
        <w:rPr>
          <w:rFonts w:cstheme="minorHAnsi"/>
          <w:color w:val="000000" w:themeColor="text1"/>
          <w:sz w:val="22"/>
          <w:szCs w:val="22"/>
        </w:rPr>
        <w:t xml:space="preserve"> come together </w:t>
      </w:r>
      <w:r w:rsidR="000006B8" w:rsidRPr="005E2BC5">
        <w:rPr>
          <w:rFonts w:cstheme="minorHAnsi"/>
          <w:i/>
          <w:color w:val="000000" w:themeColor="text1"/>
          <w:sz w:val="22"/>
          <w:szCs w:val="22"/>
        </w:rPr>
        <w:t>within</w:t>
      </w:r>
      <w:r w:rsidR="000006B8">
        <w:rPr>
          <w:rFonts w:cstheme="minorHAnsi"/>
          <w:color w:val="000000" w:themeColor="text1"/>
          <w:sz w:val="22"/>
          <w:szCs w:val="22"/>
        </w:rPr>
        <w:t xml:space="preserve"> programs to work on their assessment planning and reporting</w:t>
      </w:r>
      <w:r w:rsidR="009B6E3F">
        <w:rPr>
          <w:rFonts w:cstheme="minorHAnsi"/>
          <w:color w:val="000000" w:themeColor="text1"/>
          <w:sz w:val="22"/>
          <w:szCs w:val="22"/>
        </w:rPr>
        <w:t>,</w:t>
      </w:r>
      <w:r w:rsidR="000006B8">
        <w:rPr>
          <w:rFonts w:cstheme="minorHAnsi"/>
          <w:color w:val="000000" w:themeColor="text1"/>
          <w:sz w:val="22"/>
          <w:szCs w:val="22"/>
        </w:rPr>
        <w:t xml:space="preserve"> but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 to</w:t>
      </w:r>
      <w:r w:rsidR="000006B8">
        <w:rPr>
          <w:rFonts w:cstheme="minorHAnsi"/>
          <w:color w:val="000000" w:themeColor="text1"/>
          <w:sz w:val="22"/>
          <w:szCs w:val="22"/>
        </w:rPr>
        <w:t xml:space="preserve"> then come together </w:t>
      </w:r>
      <w:r w:rsidR="000006B8" w:rsidRPr="005E2BC5">
        <w:rPr>
          <w:rFonts w:cstheme="minorHAnsi"/>
          <w:i/>
          <w:color w:val="000000" w:themeColor="text1"/>
          <w:sz w:val="22"/>
          <w:szCs w:val="22"/>
        </w:rPr>
        <w:t>across</w:t>
      </w:r>
      <w:r w:rsidR="000006B8">
        <w:rPr>
          <w:rFonts w:cstheme="minorHAnsi"/>
          <w:color w:val="000000" w:themeColor="text1"/>
          <w:sz w:val="22"/>
          <w:szCs w:val="22"/>
        </w:rPr>
        <w:t xml:space="preserve"> programs to compare and contrast their achievement of Un</w:t>
      </w:r>
      <w:r w:rsidR="00F82777">
        <w:rPr>
          <w:rFonts w:cstheme="minorHAnsi"/>
          <w:color w:val="000000" w:themeColor="text1"/>
          <w:sz w:val="22"/>
          <w:szCs w:val="22"/>
        </w:rPr>
        <w:t>i</w:t>
      </w:r>
      <w:r w:rsidR="000006B8">
        <w:rPr>
          <w:rFonts w:cstheme="minorHAnsi"/>
          <w:color w:val="000000" w:themeColor="text1"/>
          <w:sz w:val="22"/>
          <w:szCs w:val="22"/>
        </w:rPr>
        <w:t>versity learning outcomes</w:t>
      </w:r>
      <w:r w:rsidR="009B6E3F">
        <w:rPr>
          <w:rFonts w:cstheme="minorHAnsi"/>
          <w:color w:val="000000" w:themeColor="text1"/>
          <w:sz w:val="22"/>
          <w:szCs w:val="22"/>
        </w:rPr>
        <w:t>.</w:t>
      </w:r>
      <w:r w:rsidR="006F42D1">
        <w:rPr>
          <w:rFonts w:cstheme="minorHAnsi"/>
          <w:color w:val="000000" w:themeColor="text1"/>
          <w:sz w:val="22"/>
          <w:szCs w:val="22"/>
        </w:rPr>
        <w:t xml:space="preserve"> </w:t>
      </w:r>
      <w:r w:rsidR="009B6E3F">
        <w:rPr>
          <w:rFonts w:cstheme="minorHAnsi"/>
          <w:color w:val="000000" w:themeColor="text1"/>
          <w:sz w:val="22"/>
          <w:szCs w:val="22"/>
        </w:rPr>
        <w:t>This would provide the opportunity and</w:t>
      </w:r>
      <w:r w:rsidR="006F42D1">
        <w:rPr>
          <w:rFonts w:cstheme="minorHAnsi"/>
          <w:color w:val="000000" w:themeColor="text1"/>
          <w:sz w:val="22"/>
          <w:szCs w:val="22"/>
        </w:rPr>
        <w:t xml:space="preserve"> the right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 environment </w:t>
      </w:r>
      <w:r w:rsidR="000006B8">
        <w:rPr>
          <w:rFonts w:cstheme="minorHAnsi"/>
          <w:color w:val="000000" w:themeColor="text1"/>
          <w:sz w:val="22"/>
          <w:szCs w:val="22"/>
        </w:rPr>
        <w:t xml:space="preserve">to engage in </w:t>
      </w:r>
      <w:r w:rsidR="00DA17F8">
        <w:rPr>
          <w:rFonts w:cstheme="minorHAnsi"/>
          <w:color w:val="000000" w:themeColor="text1"/>
          <w:sz w:val="22"/>
          <w:szCs w:val="22"/>
        </w:rPr>
        <w:t xml:space="preserve">strategic conversations around </w:t>
      </w:r>
      <w:r w:rsidR="002B085E">
        <w:rPr>
          <w:rFonts w:cstheme="minorHAnsi"/>
          <w:color w:val="000000" w:themeColor="text1"/>
          <w:sz w:val="22"/>
          <w:szCs w:val="22"/>
        </w:rPr>
        <w:t>how to engage in continuing effectiveness</w:t>
      </w:r>
      <w:r w:rsidR="009B6E3F">
        <w:rPr>
          <w:rFonts w:cstheme="minorHAnsi"/>
          <w:color w:val="000000" w:themeColor="text1"/>
          <w:sz w:val="22"/>
          <w:szCs w:val="22"/>
        </w:rPr>
        <w:t>,</w:t>
      </w:r>
      <w:r w:rsidR="002B085E">
        <w:rPr>
          <w:rFonts w:cstheme="minorHAnsi"/>
          <w:color w:val="000000" w:themeColor="text1"/>
          <w:sz w:val="22"/>
          <w:szCs w:val="22"/>
        </w:rPr>
        <w:t xml:space="preserve"> based not only on what 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they’ve </w:t>
      </w:r>
      <w:r w:rsidR="002B085E">
        <w:rPr>
          <w:rFonts w:cstheme="minorHAnsi"/>
          <w:color w:val="000000" w:themeColor="text1"/>
          <w:sz w:val="22"/>
          <w:szCs w:val="22"/>
        </w:rPr>
        <w:t xml:space="preserve">learned about 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their </w:t>
      </w:r>
      <w:r w:rsidR="002B085E">
        <w:rPr>
          <w:rFonts w:cstheme="minorHAnsi"/>
          <w:color w:val="000000" w:themeColor="text1"/>
          <w:sz w:val="22"/>
          <w:szCs w:val="22"/>
        </w:rPr>
        <w:t xml:space="preserve">own program but on what </w:t>
      </w:r>
      <w:r w:rsidR="009B6E3F">
        <w:rPr>
          <w:rFonts w:cstheme="minorHAnsi"/>
          <w:color w:val="000000" w:themeColor="text1"/>
          <w:sz w:val="22"/>
          <w:szCs w:val="22"/>
        </w:rPr>
        <w:t xml:space="preserve">they’ve </w:t>
      </w:r>
      <w:r w:rsidR="002B085E">
        <w:rPr>
          <w:rFonts w:cstheme="minorHAnsi"/>
          <w:color w:val="000000" w:themeColor="text1"/>
          <w:sz w:val="22"/>
          <w:szCs w:val="22"/>
        </w:rPr>
        <w:t xml:space="preserve">learned from </w:t>
      </w:r>
      <w:r w:rsidR="002B085E" w:rsidRPr="002B085E">
        <w:rPr>
          <w:rFonts w:cstheme="minorHAnsi"/>
          <w:i/>
          <w:color w:val="000000" w:themeColor="text1"/>
          <w:sz w:val="22"/>
          <w:szCs w:val="22"/>
        </w:rPr>
        <w:t>other</w:t>
      </w:r>
      <w:r w:rsidR="002B085E">
        <w:rPr>
          <w:rFonts w:cstheme="minorHAnsi"/>
          <w:color w:val="000000" w:themeColor="text1"/>
          <w:sz w:val="22"/>
          <w:szCs w:val="22"/>
        </w:rPr>
        <w:t xml:space="preserve"> programs</w:t>
      </w:r>
      <w:r w:rsidR="000006B8">
        <w:rPr>
          <w:rFonts w:cstheme="minorHAnsi"/>
          <w:color w:val="000000" w:themeColor="text1"/>
          <w:sz w:val="22"/>
          <w:szCs w:val="22"/>
        </w:rPr>
        <w:t xml:space="preserve">. </w:t>
      </w:r>
      <w:r w:rsidR="00A17AF5">
        <w:rPr>
          <w:rFonts w:cstheme="minorHAnsi"/>
          <w:color w:val="000000" w:themeColor="text1"/>
          <w:sz w:val="22"/>
          <w:szCs w:val="22"/>
        </w:rPr>
        <w:t xml:space="preserve">Optimal times for such an “assessment-fest” would be during </w:t>
      </w:r>
      <w:r w:rsidR="009B6E3F">
        <w:rPr>
          <w:rFonts w:cstheme="minorHAnsi"/>
          <w:color w:val="000000" w:themeColor="text1"/>
          <w:sz w:val="22"/>
          <w:szCs w:val="22"/>
        </w:rPr>
        <w:t>Fall Kickoff</w:t>
      </w:r>
      <w:r w:rsidR="00A17AF5">
        <w:rPr>
          <w:rFonts w:cstheme="minorHAnsi"/>
          <w:color w:val="000000" w:themeColor="text1"/>
          <w:sz w:val="22"/>
          <w:szCs w:val="22"/>
        </w:rPr>
        <w:t xml:space="preserve"> week (which</w:t>
      </w:r>
      <w:r w:rsidR="006F42D1">
        <w:rPr>
          <w:rFonts w:cstheme="minorHAnsi"/>
          <w:color w:val="000000" w:themeColor="text1"/>
          <w:sz w:val="22"/>
          <w:szCs w:val="22"/>
        </w:rPr>
        <w:t xml:space="preserve"> would be more effective if</w:t>
      </w:r>
      <w:r w:rsidR="00A17AF5">
        <w:rPr>
          <w:rFonts w:cstheme="minorHAnsi"/>
          <w:color w:val="000000" w:themeColor="text1"/>
          <w:sz w:val="22"/>
          <w:szCs w:val="22"/>
        </w:rPr>
        <w:t xml:space="preserve"> extend</w:t>
      </w:r>
      <w:r w:rsidR="006F42D1">
        <w:rPr>
          <w:rFonts w:cstheme="minorHAnsi"/>
          <w:color w:val="000000" w:themeColor="text1"/>
          <w:sz w:val="22"/>
          <w:szCs w:val="22"/>
        </w:rPr>
        <w:t>ed</w:t>
      </w:r>
      <w:r w:rsidR="00A17AF5">
        <w:rPr>
          <w:rFonts w:cstheme="minorHAnsi"/>
          <w:color w:val="000000" w:themeColor="text1"/>
          <w:sz w:val="22"/>
          <w:szCs w:val="22"/>
        </w:rPr>
        <w:t xml:space="preserve"> to two weeks), immediately post-finals during Fall term, or on a selected day during Winter term in which classes are cancelled in support of this activity (this</w:t>
      </w:r>
      <w:r w:rsidR="006F42D1">
        <w:rPr>
          <w:rFonts w:cstheme="minorHAnsi"/>
          <w:color w:val="000000" w:themeColor="text1"/>
          <w:sz w:val="22"/>
          <w:szCs w:val="22"/>
        </w:rPr>
        <w:t>,</w:t>
      </w:r>
      <w:r w:rsidR="00A17AF5">
        <w:rPr>
          <w:rFonts w:cstheme="minorHAnsi"/>
          <w:color w:val="000000" w:themeColor="text1"/>
          <w:sz w:val="22"/>
          <w:szCs w:val="22"/>
        </w:rPr>
        <w:t xml:space="preserve"> along with MLK day</w:t>
      </w:r>
      <w:r w:rsidR="006F42D1">
        <w:rPr>
          <w:rFonts w:cstheme="minorHAnsi"/>
          <w:color w:val="000000" w:themeColor="text1"/>
          <w:sz w:val="22"/>
          <w:szCs w:val="22"/>
        </w:rPr>
        <w:t>,</w:t>
      </w:r>
      <w:r w:rsidR="00A17AF5">
        <w:rPr>
          <w:rFonts w:cstheme="minorHAnsi"/>
          <w:color w:val="000000" w:themeColor="text1"/>
          <w:sz w:val="22"/>
          <w:szCs w:val="22"/>
        </w:rPr>
        <w:t xml:space="preserve"> would balance out the two-day Thanksgiving holiday in Fall and the two days dedicated to Showcase and Memorial Day in Spring)</w:t>
      </w:r>
      <w:r w:rsidR="003865B7">
        <w:rPr>
          <w:rFonts w:cstheme="minorHAnsi"/>
          <w:color w:val="000000" w:themeColor="text1"/>
          <w:sz w:val="22"/>
          <w:szCs w:val="22"/>
        </w:rPr>
        <w:t xml:space="preserve">. </w:t>
      </w:r>
      <w:r w:rsidR="0030177F">
        <w:rPr>
          <w:rFonts w:cstheme="minorHAnsi"/>
          <w:color w:val="000000" w:themeColor="text1"/>
          <w:sz w:val="22"/>
          <w:szCs w:val="22"/>
        </w:rPr>
        <w:t>It is</w:t>
      </w:r>
      <w:r w:rsidR="005E2BC5">
        <w:rPr>
          <w:rFonts w:cstheme="minorHAnsi"/>
          <w:color w:val="000000" w:themeColor="text1"/>
          <w:sz w:val="22"/>
          <w:szCs w:val="22"/>
        </w:rPr>
        <w:t xml:space="preserve"> also recommend</w:t>
      </w:r>
      <w:r w:rsidR="0030177F">
        <w:rPr>
          <w:rFonts w:cstheme="minorHAnsi"/>
          <w:color w:val="000000" w:themeColor="text1"/>
          <w:sz w:val="22"/>
          <w:szCs w:val="22"/>
        </w:rPr>
        <w:t>ed</w:t>
      </w:r>
      <w:r w:rsidR="005E2BC5">
        <w:rPr>
          <w:rFonts w:cstheme="minorHAnsi"/>
          <w:color w:val="000000" w:themeColor="text1"/>
          <w:sz w:val="22"/>
          <w:szCs w:val="22"/>
        </w:rPr>
        <w:t xml:space="preserve"> that WOU search for and hire an assessment specialist with professional background in higher education assessment to lead</w:t>
      </w:r>
      <w:r w:rsidR="00DE1584">
        <w:rPr>
          <w:rFonts w:cstheme="minorHAnsi"/>
          <w:color w:val="000000" w:themeColor="text1"/>
          <w:sz w:val="22"/>
          <w:szCs w:val="22"/>
        </w:rPr>
        <w:t xml:space="preserve"> </w:t>
      </w:r>
      <w:r w:rsidR="00165ACF">
        <w:rPr>
          <w:rFonts w:cstheme="minorHAnsi"/>
          <w:color w:val="000000" w:themeColor="text1"/>
          <w:sz w:val="22"/>
          <w:szCs w:val="22"/>
        </w:rPr>
        <w:t>this</w:t>
      </w:r>
      <w:r w:rsidR="00DE1584">
        <w:rPr>
          <w:rFonts w:cstheme="minorHAnsi"/>
          <w:color w:val="000000" w:themeColor="text1"/>
          <w:sz w:val="22"/>
          <w:szCs w:val="22"/>
        </w:rPr>
        <w:t xml:space="preserve"> continued shift to an assessment-based culture of teaching and learning. </w:t>
      </w:r>
    </w:p>
    <w:sectPr w:rsidR="006568BC" w:rsidRPr="00AB5C4E" w:rsidSect="0005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4C609" w14:textId="77777777" w:rsidR="00377D86" w:rsidRDefault="00377D86" w:rsidP="008B0EBD">
      <w:pPr>
        <w:spacing w:line="240" w:lineRule="auto"/>
      </w:pPr>
      <w:r>
        <w:separator/>
      </w:r>
    </w:p>
  </w:endnote>
  <w:endnote w:type="continuationSeparator" w:id="0">
    <w:p w14:paraId="4E1CCF12" w14:textId="77777777" w:rsidR="00377D86" w:rsidRDefault="00377D86" w:rsidP="008B0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109DA" w14:textId="77777777" w:rsidR="00377D86" w:rsidRDefault="00377D86" w:rsidP="008B0EBD">
      <w:pPr>
        <w:spacing w:line="240" w:lineRule="auto"/>
      </w:pPr>
      <w:r>
        <w:separator/>
      </w:r>
    </w:p>
  </w:footnote>
  <w:footnote w:type="continuationSeparator" w:id="0">
    <w:p w14:paraId="1AC6AE2A" w14:textId="77777777" w:rsidR="00377D86" w:rsidRDefault="00377D86" w:rsidP="008B0EBD">
      <w:pPr>
        <w:spacing w:line="240" w:lineRule="auto"/>
      </w:pPr>
      <w:r>
        <w:continuationSeparator/>
      </w:r>
    </w:p>
  </w:footnote>
  <w:footnote w:id="1">
    <w:p w14:paraId="1B4355C2" w14:textId="098353A9" w:rsidR="008B0EBD" w:rsidRDefault="008B0EBD">
      <w:pPr>
        <w:pStyle w:val="FootnoteText"/>
      </w:pPr>
      <w:r>
        <w:rPr>
          <w:rStyle w:val="FootnoteReference"/>
        </w:rPr>
        <w:footnoteRef/>
      </w:r>
      <w:r>
        <w:t xml:space="preserve"> To be available for assessment reporting in Tk20, programs must be listed in Tk20’s organizational hierarchy and have at least one outcome </w:t>
      </w:r>
      <w:r w:rsidR="00F92DC7">
        <w:t>listed.</w:t>
      </w:r>
    </w:p>
  </w:footnote>
  <w:footnote w:id="2">
    <w:p w14:paraId="1FC3E8AB" w14:textId="0B97FC1E" w:rsidR="004B5918" w:rsidRDefault="004B5918">
      <w:pPr>
        <w:pStyle w:val="FootnoteText"/>
      </w:pPr>
      <w:r>
        <w:rPr>
          <w:rStyle w:val="FootnoteReference"/>
        </w:rPr>
        <w:footnoteRef/>
      </w:r>
      <w:r>
        <w:t xml:space="preserve"> Partial alignment refers to </w:t>
      </w:r>
      <w:r w:rsidRPr="004B5918">
        <w:t>programs that addressed more than one outcome in their report, but did not present information well-aligned to all outcomes addressed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915"/>
    <w:multiLevelType w:val="hybridMultilevel"/>
    <w:tmpl w:val="68B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8B9"/>
    <w:multiLevelType w:val="multilevel"/>
    <w:tmpl w:val="E4A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D7"/>
    <w:rsid w:val="000006B8"/>
    <w:rsid w:val="00013C75"/>
    <w:rsid w:val="000216F3"/>
    <w:rsid w:val="000311EE"/>
    <w:rsid w:val="00031593"/>
    <w:rsid w:val="0003459F"/>
    <w:rsid w:val="00042199"/>
    <w:rsid w:val="00047F4C"/>
    <w:rsid w:val="00051C19"/>
    <w:rsid w:val="000558A4"/>
    <w:rsid w:val="00056F88"/>
    <w:rsid w:val="00063F63"/>
    <w:rsid w:val="000640E8"/>
    <w:rsid w:val="0008303F"/>
    <w:rsid w:val="0009252C"/>
    <w:rsid w:val="000A14FF"/>
    <w:rsid w:val="000C4C24"/>
    <w:rsid w:val="000D185C"/>
    <w:rsid w:val="000D49F0"/>
    <w:rsid w:val="000D6FE2"/>
    <w:rsid w:val="000F439D"/>
    <w:rsid w:val="00112776"/>
    <w:rsid w:val="00123EDD"/>
    <w:rsid w:val="00124CDD"/>
    <w:rsid w:val="00132861"/>
    <w:rsid w:val="00135DA8"/>
    <w:rsid w:val="00137346"/>
    <w:rsid w:val="00153916"/>
    <w:rsid w:val="00165617"/>
    <w:rsid w:val="00165ACF"/>
    <w:rsid w:val="00166318"/>
    <w:rsid w:val="00184DAA"/>
    <w:rsid w:val="00186C1B"/>
    <w:rsid w:val="001A55FD"/>
    <w:rsid w:val="001C2285"/>
    <w:rsid w:val="001D5735"/>
    <w:rsid w:val="001D798F"/>
    <w:rsid w:val="001F4087"/>
    <w:rsid w:val="00204FF9"/>
    <w:rsid w:val="00213912"/>
    <w:rsid w:val="00214F66"/>
    <w:rsid w:val="00221447"/>
    <w:rsid w:val="002321B9"/>
    <w:rsid w:val="0023567C"/>
    <w:rsid w:val="00240ECF"/>
    <w:rsid w:val="00242DD6"/>
    <w:rsid w:val="00243C6A"/>
    <w:rsid w:val="00250C9B"/>
    <w:rsid w:val="00261838"/>
    <w:rsid w:val="00267A8C"/>
    <w:rsid w:val="00275A9C"/>
    <w:rsid w:val="00277BE2"/>
    <w:rsid w:val="002817AE"/>
    <w:rsid w:val="002876BA"/>
    <w:rsid w:val="00287CFA"/>
    <w:rsid w:val="00297AD1"/>
    <w:rsid w:val="002B085E"/>
    <w:rsid w:val="0030177F"/>
    <w:rsid w:val="00302792"/>
    <w:rsid w:val="00305F31"/>
    <w:rsid w:val="0030687A"/>
    <w:rsid w:val="003157C3"/>
    <w:rsid w:val="00315CE5"/>
    <w:rsid w:val="00320A8F"/>
    <w:rsid w:val="00331A10"/>
    <w:rsid w:val="0034147A"/>
    <w:rsid w:val="003453C3"/>
    <w:rsid w:val="00352501"/>
    <w:rsid w:val="00356C18"/>
    <w:rsid w:val="00373600"/>
    <w:rsid w:val="00373D7B"/>
    <w:rsid w:val="00377D86"/>
    <w:rsid w:val="00380BBC"/>
    <w:rsid w:val="00382176"/>
    <w:rsid w:val="003865B7"/>
    <w:rsid w:val="003A16E4"/>
    <w:rsid w:val="003A33AA"/>
    <w:rsid w:val="003C7BA1"/>
    <w:rsid w:val="003F2199"/>
    <w:rsid w:val="00404619"/>
    <w:rsid w:val="00411CAB"/>
    <w:rsid w:val="00465E6A"/>
    <w:rsid w:val="004837CA"/>
    <w:rsid w:val="00486814"/>
    <w:rsid w:val="004A4083"/>
    <w:rsid w:val="004B1265"/>
    <w:rsid w:val="004B5918"/>
    <w:rsid w:val="004C2DE6"/>
    <w:rsid w:val="004E63B4"/>
    <w:rsid w:val="00521DFD"/>
    <w:rsid w:val="00530A6F"/>
    <w:rsid w:val="00560890"/>
    <w:rsid w:val="005656AE"/>
    <w:rsid w:val="00567319"/>
    <w:rsid w:val="005831F0"/>
    <w:rsid w:val="005B0EE1"/>
    <w:rsid w:val="005C513C"/>
    <w:rsid w:val="005C553E"/>
    <w:rsid w:val="005E1BCA"/>
    <w:rsid w:val="005E2BC5"/>
    <w:rsid w:val="005E2EE2"/>
    <w:rsid w:val="005E40A1"/>
    <w:rsid w:val="00614BFB"/>
    <w:rsid w:val="006253DA"/>
    <w:rsid w:val="006258B5"/>
    <w:rsid w:val="006411D7"/>
    <w:rsid w:val="006568BC"/>
    <w:rsid w:val="006711EA"/>
    <w:rsid w:val="0067175A"/>
    <w:rsid w:val="00682130"/>
    <w:rsid w:val="00692EB8"/>
    <w:rsid w:val="006954AB"/>
    <w:rsid w:val="006A0C1D"/>
    <w:rsid w:val="006A3047"/>
    <w:rsid w:val="006A643C"/>
    <w:rsid w:val="006B0427"/>
    <w:rsid w:val="006E1144"/>
    <w:rsid w:val="006F1D01"/>
    <w:rsid w:val="006F246E"/>
    <w:rsid w:val="006F42D1"/>
    <w:rsid w:val="006F7242"/>
    <w:rsid w:val="00701075"/>
    <w:rsid w:val="00701BD7"/>
    <w:rsid w:val="00703706"/>
    <w:rsid w:val="00712796"/>
    <w:rsid w:val="00723507"/>
    <w:rsid w:val="0074228C"/>
    <w:rsid w:val="00753E9C"/>
    <w:rsid w:val="00757252"/>
    <w:rsid w:val="00766563"/>
    <w:rsid w:val="0078611D"/>
    <w:rsid w:val="00790F2C"/>
    <w:rsid w:val="007919F5"/>
    <w:rsid w:val="007A059B"/>
    <w:rsid w:val="007A2EB0"/>
    <w:rsid w:val="007B1221"/>
    <w:rsid w:val="007D4A69"/>
    <w:rsid w:val="007E5BBB"/>
    <w:rsid w:val="00801DE1"/>
    <w:rsid w:val="00802CEC"/>
    <w:rsid w:val="008070BF"/>
    <w:rsid w:val="0080753F"/>
    <w:rsid w:val="008160DB"/>
    <w:rsid w:val="00824CBA"/>
    <w:rsid w:val="00836394"/>
    <w:rsid w:val="0083763C"/>
    <w:rsid w:val="00850E11"/>
    <w:rsid w:val="008655A4"/>
    <w:rsid w:val="00870685"/>
    <w:rsid w:val="008723A6"/>
    <w:rsid w:val="00872E4C"/>
    <w:rsid w:val="00874C2B"/>
    <w:rsid w:val="00886069"/>
    <w:rsid w:val="00892655"/>
    <w:rsid w:val="00896454"/>
    <w:rsid w:val="008A1239"/>
    <w:rsid w:val="008A7577"/>
    <w:rsid w:val="008B07A3"/>
    <w:rsid w:val="008B0EBD"/>
    <w:rsid w:val="008B4B07"/>
    <w:rsid w:val="008B52F3"/>
    <w:rsid w:val="008B5CBC"/>
    <w:rsid w:val="008B6D8B"/>
    <w:rsid w:val="008C219C"/>
    <w:rsid w:val="008E0390"/>
    <w:rsid w:val="008E29C4"/>
    <w:rsid w:val="008E557F"/>
    <w:rsid w:val="00901487"/>
    <w:rsid w:val="00905304"/>
    <w:rsid w:val="00905BF5"/>
    <w:rsid w:val="00923D1B"/>
    <w:rsid w:val="00941601"/>
    <w:rsid w:val="00946BFC"/>
    <w:rsid w:val="009578C1"/>
    <w:rsid w:val="00995227"/>
    <w:rsid w:val="009A5D24"/>
    <w:rsid w:val="009B263F"/>
    <w:rsid w:val="009B40F3"/>
    <w:rsid w:val="009B6E3F"/>
    <w:rsid w:val="009C188C"/>
    <w:rsid w:val="009C3CFA"/>
    <w:rsid w:val="009C5254"/>
    <w:rsid w:val="009E417E"/>
    <w:rsid w:val="009E56B2"/>
    <w:rsid w:val="009F32E8"/>
    <w:rsid w:val="009F4AEA"/>
    <w:rsid w:val="00A1024C"/>
    <w:rsid w:val="00A17AF5"/>
    <w:rsid w:val="00A17D23"/>
    <w:rsid w:val="00A27589"/>
    <w:rsid w:val="00A3460E"/>
    <w:rsid w:val="00A404C1"/>
    <w:rsid w:val="00A4272A"/>
    <w:rsid w:val="00A535BA"/>
    <w:rsid w:val="00A853A9"/>
    <w:rsid w:val="00A903D9"/>
    <w:rsid w:val="00A95D21"/>
    <w:rsid w:val="00AB438F"/>
    <w:rsid w:val="00AB5C4E"/>
    <w:rsid w:val="00AB5E48"/>
    <w:rsid w:val="00AD360C"/>
    <w:rsid w:val="00AD639F"/>
    <w:rsid w:val="00AE5E38"/>
    <w:rsid w:val="00AF1F81"/>
    <w:rsid w:val="00AF4A2B"/>
    <w:rsid w:val="00B02412"/>
    <w:rsid w:val="00B15A5C"/>
    <w:rsid w:val="00B22A65"/>
    <w:rsid w:val="00B234C9"/>
    <w:rsid w:val="00B239EF"/>
    <w:rsid w:val="00B315C8"/>
    <w:rsid w:val="00B32AC3"/>
    <w:rsid w:val="00B3343A"/>
    <w:rsid w:val="00B36E88"/>
    <w:rsid w:val="00B42A31"/>
    <w:rsid w:val="00B46DE2"/>
    <w:rsid w:val="00B6682A"/>
    <w:rsid w:val="00B70D93"/>
    <w:rsid w:val="00B7759B"/>
    <w:rsid w:val="00B81F24"/>
    <w:rsid w:val="00B82A97"/>
    <w:rsid w:val="00B83445"/>
    <w:rsid w:val="00B83E65"/>
    <w:rsid w:val="00B93FB7"/>
    <w:rsid w:val="00BA2FB8"/>
    <w:rsid w:val="00BA4427"/>
    <w:rsid w:val="00BA7039"/>
    <w:rsid w:val="00BB13BC"/>
    <w:rsid w:val="00BB73B7"/>
    <w:rsid w:val="00BE125D"/>
    <w:rsid w:val="00C135BD"/>
    <w:rsid w:val="00C34846"/>
    <w:rsid w:val="00C34EE1"/>
    <w:rsid w:val="00C575C6"/>
    <w:rsid w:val="00C6491D"/>
    <w:rsid w:val="00C74493"/>
    <w:rsid w:val="00C8754D"/>
    <w:rsid w:val="00C87F85"/>
    <w:rsid w:val="00CB304A"/>
    <w:rsid w:val="00CD1BDD"/>
    <w:rsid w:val="00CD7A6F"/>
    <w:rsid w:val="00CE77C8"/>
    <w:rsid w:val="00CF65A0"/>
    <w:rsid w:val="00D0520C"/>
    <w:rsid w:val="00D154A6"/>
    <w:rsid w:val="00D3288D"/>
    <w:rsid w:val="00D34657"/>
    <w:rsid w:val="00D431EE"/>
    <w:rsid w:val="00D4585C"/>
    <w:rsid w:val="00D50783"/>
    <w:rsid w:val="00D51DAD"/>
    <w:rsid w:val="00D57DF2"/>
    <w:rsid w:val="00D6531C"/>
    <w:rsid w:val="00D745B1"/>
    <w:rsid w:val="00D84DC2"/>
    <w:rsid w:val="00D874B9"/>
    <w:rsid w:val="00DA17F8"/>
    <w:rsid w:val="00DA676E"/>
    <w:rsid w:val="00DA68A6"/>
    <w:rsid w:val="00DB35D3"/>
    <w:rsid w:val="00DB5BB0"/>
    <w:rsid w:val="00DC023D"/>
    <w:rsid w:val="00DC1A5D"/>
    <w:rsid w:val="00DC3D06"/>
    <w:rsid w:val="00DD60B3"/>
    <w:rsid w:val="00DE1584"/>
    <w:rsid w:val="00DF2BE0"/>
    <w:rsid w:val="00DF31B3"/>
    <w:rsid w:val="00E05789"/>
    <w:rsid w:val="00E1189A"/>
    <w:rsid w:val="00E12885"/>
    <w:rsid w:val="00E2349F"/>
    <w:rsid w:val="00E37C6E"/>
    <w:rsid w:val="00E42038"/>
    <w:rsid w:val="00E52EF4"/>
    <w:rsid w:val="00E53FC4"/>
    <w:rsid w:val="00E66305"/>
    <w:rsid w:val="00E77B25"/>
    <w:rsid w:val="00E83AED"/>
    <w:rsid w:val="00E856E4"/>
    <w:rsid w:val="00E858B9"/>
    <w:rsid w:val="00E8661F"/>
    <w:rsid w:val="00EB6DB1"/>
    <w:rsid w:val="00EB78E7"/>
    <w:rsid w:val="00ED2225"/>
    <w:rsid w:val="00ED6AFD"/>
    <w:rsid w:val="00EF31C9"/>
    <w:rsid w:val="00EF5D38"/>
    <w:rsid w:val="00F070E7"/>
    <w:rsid w:val="00F11CFB"/>
    <w:rsid w:val="00F12563"/>
    <w:rsid w:val="00F213A8"/>
    <w:rsid w:val="00F22425"/>
    <w:rsid w:val="00F2455D"/>
    <w:rsid w:val="00F321AC"/>
    <w:rsid w:val="00F323A2"/>
    <w:rsid w:val="00F356F6"/>
    <w:rsid w:val="00F42292"/>
    <w:rsid w:val="00F5587B"/>
    <w:rsid w:val="00F61592"/>
    <w:rsid w:val="00F72CDD"/>
    <w:rsid w:val="00F82777"/>
    <w:rsid w:val="00F92DC7"/>
    <w:rsid w:val="00FB3061"/>
    <w:rsid w:val="00FC3761"/>
    <w:rsid w:val="00FE7670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C87A"/>
  <w15:chartTrackingRefBased/>
  <w15:docId w15:val="{015B66C6-9D35-6345-A467-D9FDDC42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EBD"/>
    <w:pPr>
      <w:spacing w:line="276" w:lineRule="auto"/>
    </w:pPr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4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246E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246E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6258B5"/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6258B5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6258B5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62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62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62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2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GridTable5Dark">
    <w:name w:val="Grid Table 5 Dark"/>
    <w:basedOn w:val="TableNormal"/>
    <w:uiPriority w:val="50"/>
    <w:rsid w:val="0062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2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6258B5"/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GridTable2-Accent5">
    <w:name w:val="Grid Table 2 Accent 5"/>
    <w:basedOn w:val="TableNormal"/>
    <w:uiPriority w:val="47"/>
    <w:rsid w:val="00530A6F"/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1A55FD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3-Accent6">
    <w:name w:val="List Table 3 Accent 6"/>
    <w:basedOn w:val="TableNormal"/>
    <w:uiPriority w:val="48"/>
    <w:rsid w:val="001A55FD"/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1277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831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1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EB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EBD"/>
    <w:rPr>
      <w:rFonts w:ascii="Minion Pro" w:hAnsi="Minion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E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2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C7"/>
    <w:rPr>
      <w:rFonts w:ascii="Minion Pro" w:hAnsi="Minion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C7"/>
    <w:rPr>
      <w:rFonts w:ascii="Minion Pro" w:hAnsi="Minion Pro"/>
      <w:b/>
      <w:bCs/>
      <w:sz w:val="20"/>
      <w:szCs w:val="20"/>
    </w:rPr>
  </w:style>
  <w:style w:type="table" w:styleId="ListTable3-Accent4">
    <w:name w:val="List Table 3 Accent 4"/>
    <w:basedOn w:val="TableNormal"/>
    <w:uiPriority w:val="48"/>
    <w:rsid w:val="00F11CFB"/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11CFB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1CFB"/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Table3-Accent3">
    <w:name w:val="List Table 3 Accent 3"/>
    <w:basedOn w:val="TableNormal"/>
    <w:uiPriority w:val="48"/>
    <w:rsid w:val="00F11CFB"/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F11CFB"/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46C9-9BE8-7649-B0A0-6D7E4AF0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2018-12-31T18:13:00Z</cp:lastPrinted>
  <dcterms:created xsi:type="dcterms:W3CDTF">2019-01-03T01:07:00Z</dcterms:created>
  <dcterms:modified xsi:type="dcterms:W3CDTF">2019-02-18T23:38:00Z</dcterms:modified>
</cp:coreProperties>
</file>